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sh-20260924.htm"/>
      <w:bookmarkStart w:id="1" w:name="ksash20260924"/>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24,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ASHLAND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333-211719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81-2587835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8145 Blazer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Wilmington, Delaware</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19808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302</w:t>
            </w:r>
            <w:r>
              <w:rPr>
                <w:rFonts w:ascii="Times New Roman" w:hAnsi="Times New Roman"/>
                <w:color w:val="000000"/>
                <w:sz w:val="20"/>
              </w:rPr>
              <w:t xml:space="preserve"> </w:t>
            </w:r>
            <w:r>
              <w:rPr>
                <w:rFonts w:ascii="Times New Roman" w:hAnsi="Times New Roman"/>
                <w:b/>
                <w:color w:val="000000"/>
                <w:sz w:val="20"/>
              </w:rPr>
              <w:t>995-3000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455" w:type="dxa"/>
        <w:jc w:val="left"/>
        <w:tblInd w:w="0" w:type="dxa"/>
        <w:tblLayout w:type="fixed"/>
        <w:tblCellMar>
          <w:top w:w="28" w:type="dxa"/>
          <w:left w:w="28" w:type="dxa"/>
          <w:bottom w:w="28" w:type="dxa"/>
          <w:right w:w="28" w:type="dxa"/>
        </w:tblCellMar>
      </w:tblPr>
      <w:tblGrid>
        <w:gridCol w:w="3391"/>
        <w:gridCol w:w="146"/>
        <w:gridCol w:w="946"/>
        <w:gridCol w:w="146"/>
        <w:gridCol w:w="382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ASH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On September 24, 2026, Ashland Inc. (the “Company”), Ashland International Receivables Designated Activity Company, a wholly owned subsidiary of the Company and a bankruptcy-remote Irish designated activity company, as seller (the “Seller”), certain of the Company’s wholly owned international subsidiaries, as originators (the “Originators”), Bank of America, N.A., as administrative agent and structuring agent (in such capacities, the “Administrative Agent”), Bank of America Europe DAC, as a committed purchaser, and the other parties thereto, entered into a Deed of Amendment and Restatement (the “Amendment”) relating to the Company’s existing European accounts receivable securitization program (the “EU A/R Facility”). Pursuant to the Amendment, the parties amended and restated the Receivables Purchase Agreement, originally dated October 19, 2023 (the “RPA”), and the Master Framework Agreement, originally dated October 19, 2023 (“MFA”). The Amendment and the amended and restated RPA and MFA are collectively referred to herein as the “Amended Facility Documents.”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Amendment extends the scheduled termination date of the EU A/R Facility to September 21, 2029. The EU A/R Facility continues to provide for the sale of eligible trade receivables under a revolving receivables securitization program having an aggregate facility limit of €125 million. In connection with the Amendment, Bank of America, N.A. assigned, transferred and delegated all of its rights, interests and obligations as Committed Purchaser to Bank of America Europe DAC. Bank of America, N.A. continues to serve as administrative agent and structuring agent under the EU A/R Facility.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Amended Facility Documents also include certain additional updates to the RPA and MFA that are consistent with current market standards.</w:t>
      </w:r>
    </w:p>
    <w:p>
      <w:pPr>
        <w:pStyle w:val="TextBody"/>
        <w:bidi w:val="0"/>
        <w:jc w:val="left"/>
        <w:rPr>
          <w:rFonts w:ascii="Times New Roman" w:hAnsi="Times New Roman"/>
          <w:color w:val="000000"/>
          <w:sz w:val="20"/>
        </w:rPr>
      </w:pPr>
      <w:r>
        <w:rPr>
          <w:rFonts w:ascii="Times New Roman" w:hAnsi="Times New Roman"/>
          <w:color w:val="000000"/>
          <w:sz w:val="20"/>
        </w:rPr>
        <w:t>The foregoing description of the Amendment and the EU A/R Facility does not purport to be complete and is qualified in its entirety by reference to the full text of the Amendment, which is filed as Exhibit 10.1 to this Current Report on Form 8-K, and the RPA and MFA, which were filed as Exhibits 10.1 and 10.2, respectively, to Ashland’s Current Report on Form 8-K on October 24, 2023, all of which are incorporated herein by reference.</w:t>
      </w:r>
    </w:p>
    <w:p>
      <w:pPr>
        <w:pStyle w:val="TextBody"/>
        <w:bidi w:val="0"/>
        <w:jc w:val="left"/>
        <w:rPr/>
      </w:pPr>
      <w:r>
        <w:rPr/>
        <w:t> </w:t>
      </w:r>
    </w:p>
    <w:p>
      <w:pPr>
        <w:pStyle w:val="TextBody"/>
        <w:bidi w:val="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Item 2.03 Creation of a Direct Financial Obligation or an Obligation under an Off-Balance Sheet Arrangement of a Registrant.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information set forth above in Item 1.01 of this Current Report on Form 8-K is incorporated herein by reference.</w:t>
      </w:r>
    </w:p>
    <w:p>
      <w:pPr>
        <w:pStyle w:val="Heading2"/>
        <w:bidi w:val="0"/>
        <w:spacing w:before="20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481"/>
        <w:gridCol w:w="146"/>
        <w:gridCol w:w="9578"/>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78" w:type="dxa"/>
            <w:tcBorders/>
            <w:vAlign w:val="center"/>
          </w:tcPr>
          <w:p>
            <w:pPr>
              <w:pStyle w:val="TableContents"/>
              <w:bidi w:val="0"/>
              <w:spacing w:before="0" w:after="283"/>
              <w:jc w:val="left"/>
              <w:rPr>
                <w:sz w:val="4"/>
                <w:szCs w:val="4"/>
              </w:rPr>
            </w:pPr>
            <w:r>
              <w:rPr>
                <w:sz w:val="4"/>
                <w:szCs w:val="4"/>
              </w:rPr>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Exhibits</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sh-ex10_1.htm">
              <w:r>
                <w:rPr>
                  <w:rStyle w:val="InternetLink"/>
                  <w:rFonts w:ascii="Times New Roman" w:hAnsi="Times New Roman"/>
                  <w:color w:val="0000FF"/>
                  <w:sz w:val="20"/>
                  <w:u w:val="single"/>
                </w:rPr>
                <w:t>Deed of Amendment and Restatement, dated September 24, 2026, by and among Ashland International Receivables Designated Activity Company, Ashland Inc., the Originators and other Ashland entities party thereto, Bank of America, N.A., Bank of America Europe DAC, ING Belgium SA/NV and Mont Blanc Capital Corp., including the Amended and Restated Master Framework Agreement and Amended and Restated Receivables Purchase Agreement attached thereto.</w:t>
              </w:r>
            </w:hyperlink>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both"/>
        <w:rPr/>
      </w:pPr>
      <w:r>
        <w:rPr/>
        <w:t> </w:t>
      </w:r>
    </w:p>
    <w:p>
      <w:pPr>
        <w:pStyle w:val="Heading2"/>
        <w:bidi w:val="0"/>
        <w:spacing w:before="36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919" w:type="dxa"/>
        <w:jc w:val="left"/>
        <w:tblInd w:w="0" w:type="dxa"/>
        <w:tblLayout w:type="fixed"/>
        <w:tblCellMar>
          <w:top w:w="28" w:type="dxa"/>
          <w:left w:w="28" w:type="dxa"/>
          <w:bottom w:w="28" w:type="dxa"/>
          <w:right w:w="28" w:type="dxa"/>
        </w:tblCellMar>
      </w:tblPr>
      <w:tblGrid>
        <w:gridCol w:w="556"/>
        <w:gridCol w:w="1726"/>
        <w:gridCol w:w="451"/>
        <w:gridCol w:w="4186"/>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 xml:space="preserve">ASHLAND INC.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25,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18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/s/ William C. Whitaker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William C. Whitaker</w:t>
              <w:br/>
              <w:t xml:space="preserve">Senior Vice President and Chief Financial Officer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ash-ex10_1.htm"/>
      <w:bookmarkStart w:id="3" w:name="ksashex10_1"/>
      <w:bookmarkEnd w:id="2"/>
      <w:bookmarkEnd w:id="3"/>
      <w:r>
        <w:rPr>
          <w:rFonts w:ascii="Times New Roman" w:hAnsi="Times New Roman"/>
          <w:b/>
          <w:color w:val="000000"/>
          <w:sz w:val="24"/>
        </w:rPr>
        <w:t>Exhibit 10.1</w:t>
      </w:r>
      <w:r>
        <w:br w:type="page"/>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EXECUTION VERSION</w:t>
      </w:r>
    </w:p>
    <w:p>
      <w:pPr>
        <w:pStyle w:val="TextBody"/>
        <w:bidi w:val="0"/>
        <w:spacing w:before="180" w:after="283"/>
        <w:jc w:val="both"/>
        <w:rPr>
          <w:rFonts w:ascii="Times New Roman" w:hAnsi="Times New Roman"/>
          <w:color w:val="000000"/>
          <w:sz w:val="24"/>
        </w:rPr>
      </w:pPr>
      <w:r>
        <w:rPr>
          <w:rFonts w:ascii="Times New Roman" w:hAnsi="Times New Roman"/>
          <w:color w:val="000000"/>
          <w:sz w:val="24"/>
        </w:rPr>
        <w:t>NOTE: In accordance with Item 601(a)(5) of Regulation S-K, this exhibit omits certain of its schedules and exhibits. This exhibit's table of contents includes a brief description of the subject matter of all of its schedules and exhibits, including the omitted schedules and exhibits. The Registrant acknowledges that it must provide a copy of any omitted schedules or exhibits to the Securities and Exchange Commission or its staff upon request.</w:t>
      </w:r>
    </w:p>
    <w:p>
      <w:pPr>
        <w:pStyle w:val="TextBody"/>
        <w:bidi w:val="0"/>
        <w:spacing w:before="180" w:after="283"/>
        <w:jc w:val="center"/>
        <w:rPr>
          <w:rFonts w:ascii="Times New Roman" w:hAnsi="Times New Roman"/>
          <w:sz w:val="24"/>
        </w:rPr>
      </w:pPr>
      <w:r>
        <w:rPr>
          <w:rFonts w:ascii="Times New Roman" w:hAnsi="Times New Roman"/>
          <w:color w:val="000000"/>
          <w:sz w:val="24"/>
        </w:rPr>
        <w:t xml:space="preserve">Dated </w:t>
      </w:r>
      <w:r>
        <w:rPr>
          <w:rFonts w:ascii="Times New Roman" w:hAnsi="Times New Roman"/>
          <w:color w:val="000000"/>
          <w:sz w:val="24"/>
          <w:u w:val="single"/>
        </w:rPr>
        <w:t xml:space="preserve">24 September </w:t>
      </w:r>
      <w:r>
        <w:rPr>
          <w:rFonts w:ascii="Times New Roman" w:hAnsi="Times New Roman"/>
          <w:color w:val="000000"/>
          <w:sz w:val="24"/>
        </w:rPr>
        <w:t>2026</w:t>
      </w:r>
    </w:p>
    <w:p>
      <w:pPr>
        <w:pStyle w:val="TextBody"/>
        <w:bidi w:val="0"/>
        <w:spacing w:before="180" w:after="283"/>
        <w:jc w:val="left"/>
        <w:rPr>
          <w:rFonts w:ascii="Times New Roman" w:hAnsi="Times New Roman"/>
          <w:b/>
          <w:color w:val="000000"/>
          <w:sz w:val="24"/>
        </w:rPr>
      </w:pPr>
      <w:r>
        <w:rPr>
          <w:rFonts w:ascii="Times New Roman" w:hAnsi="Times New Roman"/>
          <w:b/>
          <w:color w:val="000000"/>
          <w:sz w:val="24"/>
        </w:rPr>
        <w:t>(1)</w:t>
      </w:r>
    </w:p>
    <w:p>
      <w:pPr>
        <w:pStyle w:val="TextBody"/>
        <w:bidi w:val="0"/>
        <w:spacing w:before="180" w:after="283"/>
        <w:jc w:val="left"/>
        <w:rPr>
          <w:rFonts w:ascii="Times New Roman" w:hAnsi="Times New Roman"/>
          <w:sz w:val="24"/>
        </w:rPr>
      </w:pPr>
      <w:r>
        <w:rPr>
          <w:rFonts w:ascii="Times New Roman" w:hAnsi="Times New Roman"/>
          <w:b/>
          <w:color w:val="000000"/>
          <w:sz w:val="24"/>
        </w:rPr>
        <w:t>ASHLAND</w:t>
      </w:r>
      <w:r>
        <w:rPr>
          <w:rFonts w:ascii="Times New Roman" w:hAnsi="Times New Roman"/>
          <w:color w:val="000000"/>
          <w:sz w:val="24"/>
        </w:rPr>
        <w:t xml:space="preserve"> </w:t>
      </w:r>
      <w:r>
        <w:rPr>
          <w:rFonts w:ascii="Times New Roman" w:hAnsi="Times New Roman"/>
          <w:b/>
          <w:color w:val="000000"/>
          <w:sz w:val="24"/>
        </w:rPr>
        <w:t>INTERNATIONAL</w:t>
      </w:r>
      <w:r>
        <w:rPr>
          <w:rFonts w:ascii="Times New Roman" w:hAnsi="Times New Roman"/>
          <w:color w:val="000000"/>
          <w:sz w:val="24"/>
        </w:rPr>
        <w:t xml:space="preserve"> </w:t>
      </w:r>
      <w:r>
        <w:rPr>
          <w:rFonts w:ascii="Times New Roman" w:hAnsi="Times New Roman"/>
          <w:b/>
          <w:color w:val="000000"/>
          <w:sz w:val="24"/>
        </w:rPr>
        <w:t>RECEIVABLES DESIGNATED</w:t>
      </w:r>
      <w:r>
        <w:rPr>
          <w:rFonts w:ascii="Times New Roman" w:hAnsi="Times New Roman"/>
          <w:color w:val="000000"/>
          <w:sz w:val="24"/>
        </w:rPr>
        <w:t xml:space="preserve"> </w:t>
      </w:r>
      <w:r>
        <w:rPr>
          <w:rFonts w:ascii="Times New Roman" w:hAnsi="Times New Roman"/>
          <w:b/>
          <w:color w:val="000000"/>
          <w:sz w:val="24"/>
        </w:rPr>
        <w:t>ACTIVITY</w:t>
      </w:r>
      <w:r>
        <w:rPr>
          <w:rFonts w:ascii="Times New Roman" w:hAnsi="Times New Roman"/>
          <w:color w:val="000000"/>
          <w:sz w:val="24"/>
        </w:rPr>
        <w:t xml:space="preserve"> </w:t>
      </w:r>
      <w:r>
        <w:rPr>
          <w:rFonts w:ascii="Times New Roman" w:hAnsi="Times New Roman"/>
          <w:b/>
          <w:color w:val="000000"/>
          <w:sz w:val="24"/>
        </w:rPr>
        <w:t>COMPANY</w:t>
      </w:r>
      <w:r>
        <w:rPr>
          <w:rFonts w:ascii="Times New Roman" w:hAnsi="Times New Roman"/>
          <w:color w:val="000000"/>
          <w:sz w:val="24"/>
        </w:rPr>
        <w:t xml:space="preserve"> as Seller</w:t>
      </w:r>
    </w:p>
    <w:p>
      <w:pPr>
        <w:pStyle w:val="TextBody"/>
        <w:bidi w:val="0"/>
        <w:spacing w:before="180" w:after="283"/>
        <w:jc w:val="both"/>
        <w:rPr>
          <w:rFonts w:ascii="Times New Roman" w:hAnsi="Times New Roman"/>
          <w:b/>
          <w:color w:val="000000"/>
          <w:sz w:val="24"/>
        </w:rPr>
      </w:pPr>
      <w:r>
        <w:rPr>
          <w:rFonts w:ascii="Times New Roman" w:hAnsi="Times New Roman"/>
          <w:b/>
          <w:color w:val="000000"/>
          <w:sz w:val="24"/>
        </w:rPr>
        <w:t>(2)</w:t>
      </w:r>
    </w:p>
    <w:p>
      <w:pPr>
        <w:pStyle w:val="TextBody"/>
        <w:bidi w:val="0"/>
        <w:spacing w:before="180" w:after="283"/>
        <w:jc w:val="both"/>
        <w:rPr>
          <w:rFonts w:ascii="Times New Roman" w:hAnsi="Times New Roman"/>
          <w:sz w:val="24"/>
        </w:rPr>
      </w:pPr>
      <w:r>
        <w:rPr>
          <w:rFonts w:ascii="Times New Roman" w:hAnsi="Times New Roman"/>
          <w:b/>
          <w:color w:val="000000"/>
          <w:sz w:val="24"/>
        </w:rPr>
        <w:t>ASHLAND</w:t>
      </w:r>
      <w:r>
        <w:rPr>
          <w:rFonts w:ascii="Times New Roman" w:hAnsi="Times New Roman"/>
          <w:color w:val="000000"/>
          <w:sz w:val="24"/>
        </w:rPr>
        <w:t xml:space="preserve"> </w:t>
      </w:r>
      <w:r>
        <w:rPr>
          <w:rFonts w:ascii="Times New Roman" w:hAnsi="Times New Roman"/>
          <w:b/>
          <w:color w:val="000000"/>
          <w:sz w:val="24"/>
        </w:rPr>
        <w:t>INC</w:t>
      </w:r>
      <w:r>
        <w:rPr>
          <w:rFonts w:ascii="Times New Roman" w:hAnsi="Times New Roman"/>
          <w:color w:val="000000"/>
          <w:sz w:val="24"/>
        </w:rPr>
        <w:t>. as Performance Guarantor</w:t>
      </w:r>
    </w:p>
    <w:p>
      <w:pPr>
        <w:pStyle w:val="TextBody"/>
        <w:bidi w:val="0"/>
        <w:spacing w:before="180" w:after="283"/>
        <w:jc w:val="both"/>
        <w:rPr>
          <w:rFonts w:ascii="Times New Roman" w:hAnsi="Times New Roman"/>
          <w:b/>
          <w:color w:val="000000"/>
          <w:sz w:val="24"/>
        </w:rPr>
      </w:pPr>
      <w:r>
        <w:rPr>
          <w:rFonts w:ascii="Times New Roman" w:hAnsi="Times New Roman"/>
          <w:b/>
          <w:color w:val="000000"/>
          <w:sz w:val="24"/>
        </w:rPr>
        <w:t>(3)</w:t>
      </w:r>
    </w:p>
    <w:p>
      <w:pPr>
        <w:pStyle w:val="TextBody"/>
        <w:bidi w:val="0"/>
        <w:spacing w:before="180" w:after="283"/>
        <w:jc w:val="both"/>
        <w:rPr>
          <w:rFonts w:ascii="Times New Roman" w:hAnsi="Times New Roman"/>
          <w:sz w:val="24"/>
        </w:rPr>
      </w:pPr>
      <w:r>
        <w:rPr>
          <w:rFonts w:ascii="Times New Roman" w:hAnsi="Times New Roman"/>
          <w:b/>
          <w:color w:val="000000"/>
          <w:sz w:val="24"/>
        </w:rPr>
        <w:t>ASHLAND</w:t>
      </w:r>
      <w:r>
        <w:rPr>
          <w:rFonts w:ascii="Times New Roman" w:hAnsi="Times New Roman"/>
          <w:color w:val="000000"/>
          <w:sz w:val="24"/>
        </w:rPr>
        <w:t xml:space="preserve"> </w:t>
      </w:r>
      <w:r>
        <w:rPr>
          <w:rFonts w:ascii="Times New Roman" w:hAnsi="Times New Roman"/>
          <w:b/>
          <w:color w:val="000000"/>
          <w:sz w:val="24"/>
        </w:rPr>
        <w:t>INDUSTRIES</w:t>
      </w:r>
      <w:r>
        <w:rPr>
          <w:rFonts w:ascii="Times New Roman" w:hAnsi="Times New Roman"/>
          <w:color w:val="000000"/>
          <w:sz w:val="24"/>
        </w:rPr>
        <w:t xml:space="preserve"> </w:t>
      </w:r>
      <w:r>
        <w:rPr>
          <w:rFonts w:ascii="Times New Roman" w:hAnsi="Times New Roman"/>
          <w:b/>
          <w:color w:val="000000"/>
          <w:sz w:val="24"/>
        </w:rPr>
        <w:t>FRANCE</w:t>
      </w:r>
      <w:r>
        <w:rPr>
          <w:rFonts w:ascii="Times New Roman" w:hAnsi="Times New Roman"/>
          <w:color w:val="000000"/>
          <w:sz w:val="24"/>
        </w:rPr>
        <w:t xml:space="preserve"> </w:t>
      </w:r>
      <w:r>
        <w:rPr>
          <w:rFonts w:ascii="Times New Roman" w:hAnsi="Times New Roman"/>
          <w:b/>
          <w:color w:val="000000"/>
          <w:sz w:val="24"/>
        </w:rPr>
        <w:t>SAS</w:t>
      </w:r>
      <w:r>
        <w:rPr>
          <w:rFonts w:ascii="Times New Roman" w:hAnsi="Times New Roman"/>
          <w:color w:val="000000"/>
          <w:sz w:val="24"/>
        </w:rPr>
        <w:t xml:space="preserve"> as French Originator and French Sub-Servicer</w:t>
      </w:r>
    </w:p>
    <w:p>
      <w:pPr>
        <w:pStyle w:val="TextBody"/>
        <w:bidi w:val="0"/>
        <w:spacing w:before="180" w:after="283"/>
        <w:jc w:val="both"/>
        <w:rPr>
          <w:rFonts w:ascii="Times New Roman" w:hAnsi="Times New Roman"/>
          <w:b/>
          <w:color w:val="000000"/>
          <w:sz w:val="24"/>
        </w:rPr>
      </w:pPr>
      <w:r>
        <w:rPr>
          <w:rFonts w:ascii="Times New Roman" w:hAnsi="Times New Roman"/>
          <w:b/>
          <w:color w:val="000000"/>
          <w:sz w:val="24"/>
        </w:rPr>
        <w:t>(4)</w:t>
      </w:r>
    </w:p>
    <w:p>
      <w:pPr>
        <w:pStyle w:val="TextBody"/>
        <w:bidi w:val="0"/>
        <w:spacing w:before="180" w:after="283"/>
        <w:jc w:val="both"/>
        <w:rPr>
          <w:rFonts w:ascii="Times New Roman" w:hAnsi="Times New Roman"/>
          <w:sz w:val="24"/>
        </w:rPr>
      </w:pPr>
      <w:r>
        <w:rPr>
          <w:rFonts w:ascii="Times New Roman" w:hAnsi="Times New Roman"/>
          <w:b/>
          <w:color w:val="000000"/>
          <w:sz w:val="24"/>
        </w:rPr>
        <w:t>ASHLAND</w:t>
      </w:r>
      <w:r>
        <w:rPr>
          <w:rFonts w:ascii="Times New Roman" w:hAnsi="Times New Roman"/>
          <w:color w:val="000000"/>
          <w:sz w:val="24"/>
        </w:rPr>
        <w:t xml:space="preserve"> </w:t>
      </w:r>
      <w:r>
        <w:rPr>
          <w:rFonts w:ascii="Times New Roman" w:hAnsi="Times New Roman"/>
          <w:b/>
          <w:color w:val="000000"/>
          <w:sz w:val="24"/>
        </w:rPr>
        <w:t>INDUSTRIES</w:t>
      </w:r>
      <w:r>
        <w:rPr>
          <w:rFonts w:ascii="Times New Roman" w:hAnsi="Times New Roman"/>
          <w:color w:val="000000"/>
          <w:sz w:val="24"/>
        </w:rPr>
        <w:t xml:space="preserve"> </w:t>
      </w:r>
      <w:r>
        <w:rPr>
          <w:rFonts w:ascii="Times New Roman" w:hAnsi="Times New Roman"/>
          <w:b/>
          <w:color w:val="000000"/>
          <w:sz w:val="24"/>
        </w:rPr>
        <w:t>DEUTSCHLAND</w:t>
      </w:r>
      <w:r>
        <w:rPr>
          <w:rFonts w:ascii="Times New Roman" w:hAnsi="Times New Roman"/>
          <w:color w:val="000000"/>
          <w:sz w:val="24"/>
        </w:rPr>
        <w:t xml:space="preserve"> </w:t>
      </w:r>
      <w:r>
        <w:rPr>
          <w:rFonts w:ascii="Times New Roman" w:hAnsi="Times New Roman"/>
          <w:b/>
          <w:color w:val="000000"/>
          <w:sz w:val="24"/>
        </w:rPr>
        <w:t>GMBH</w:t>
      </w:r>
      <w:r>
        <w:rPr>
          <w:rFonts w:ascii="Times New Roman" w:hAnsi="Times New Roman"/>
          <w:color w:val="000000"/>
          <w:sz w:val="24"/>
        </w:rPr>
        <w:t xml:space="preserve"> as German Originator, German Sub-Servicer and Subordinated Lender</w:t>
      </w:r>
    </w:p>
    <w:p>
      <w:pPr>
        <w:pStyle w:val="TextBody"/>
        <w:bidi w:val="0"/>
        <w:spacing w:before="180" w:after="283"/>
        <w:jc w:val="both"/>
        <w:rPr>
          <w:rFonts w:ascii="Times New Roman" w:hAnsi="Times New Roman"/>
          <w:b/>
          <w:color w:val="000000"/>
          <w:sz w:val="24"/>
        </w:rPr>
      </w:pPr>
      <w:r>
        <w:rPr>
          <w:rFonts w:ascii="Times New Roman" w:hAnsi="Times New Roman"/>
          <w:b/>
          <w:color w:val="000000"/>
          <w:sz w:val="24"/>
        </w:rPr>
        <w:t>(5)</w:t>
      </w:r>
    </w:p>
    <w:p>
      <w:pPr>
        <w:pStyle w:val="TextBody"/>
        <w:bidi w:val="0"/>
        <w:spacing w:before="180" w:after="283"/>
        <w:jc w:val="both"/>
        <w:rPr>
          <w:rFonts w:ascii="Times New Roman" w:hAnsi="Times New Roman"/>
          <w:sz w:val="24"/>
        </w:rPr>
      </w:pPr>
      <w:r>
        <w:rPr>
          <w:rFonts w:ascii="Times New Roman" w:hAnsi="Times New Roman"/>
          <w:b/>
          <w:color w:val="000000"/>
          <w:sz w:val="24"/>
        </w:rPr>
        <w:t>ASHLAND</w:t>
      </w:r>
      <w:r>
        <w:rPr>
          <w:rFonts w:ascii="Times New Roman" w:hAnsi="Times New Roman"/>
          <w:color w:val="000000"/>
          <w:sz w:val="24"/>
        </w:rPr>
        <w:t xml:space="preserve"> </w:t>
      </w:r>
      <w:r>
        <w:rPr>
          <w:rFonts w:ascii="Times New Roman" w:hAnsi="Times New Roman"/>
          <w:b/>
          <w:color w:val="000000"/>
          <w:sz w:val="24"/>
        </w:rPr>
        <w:t>INDUSTRIES</w:t>
      </w:r>
      <w:r>
        <w:rPr>
          <w:rFonts w:ascii="Times New Roman" w:hAnsi="Times New Roman"/>
          <w:color w:val="000000"/>
          <w:sz w:val="24"/>
        </w:rPr>
        <w:t xml:space="preserve"> </w:t>
      </w:r>
      <w:r>
        <w:rPr>
          <w:rFonts w:ascii="Times New Roman" w:hAnsi="Times New Roman"/>
          <w:b/>
          <w:color w:val="000000"/>
          <w:sz w:val="24"/>
        </w:rPr>
        <w:t>ITALIA</w:t>
      </w:r>
      <w:r>
        <w:rPr>
          <w:rFonts w:ascii="Times New Roman" w:hAnsi="Times New Roman"/>
          <w:color w:val="000000"/>
          <w:sz w:val="24"/>
        </w:rPr>
        <w:t xml:space="preserve"> </w:t>
      </w:r>
      <w:r>
        <w:rPr>
          <w:rFonts w:ascii="Times New Roman" w:hAnsi="Times New Roman"/>
          <w:b/>
          <w:color w:val="000000"/>
          <w:sz w:val="24"/>
        </w:rPr>
        <w:t>S.R.L</w:t>
      </w:r>
      <w:r>
        <w:rPr>
          <w:rFonts w:ascii="Times New Roman" w:hAnsi="Times New Roman"/>
          <w:color w:val="000000"/>
          <w:sz w:val="24"/>
        </w:rPr>
        <w:t xml:space="preserve"> as Italian Originator and Italian Sub-Servicer</w:t>
      </w:r>
    </w:p>
    <w:p>
      <w:pPr>
        <w:pStyle w:val="TextBody"/>
        <w:bidi w:val="0"/>
        <w:spacing w:before="180" w:after="283"/>
        <w:jc w:val="both"/>
        <w:rPr>
          <w:rFonts w:ascii="Times New Roman" w:hAnsi="Times New Roman"/>
          <w:b/>
          <w:color w:val="000000"/>
          <w:sz w:val="24"/>
        </w:rPr>
      </w:pPr>
      <w:r>
        <w:rPr>
          <w:rFonts w:ascii="Times New Roman" w:hAnsi="Times New Roman"/>
          <w:b/>
          <w:color w:val="000000"/>
          <w:sz w:val="24"/>
        </w:rPr>
        <w:t>(6)</w:t>
      </w:r>
    </w:p>
    <w:p>
      <w:pPr>
        <w:pStyle w:val="TextBody"/>
        <w:bidi w:val="0"/>
        <w:spacing w:before="180" w:after="283"/>
        <w:jc w:val="both"/>
        <w:rPr>
          <w:rFonts w:ascii="Times New Roman" w:hAnsi="Times New Roman"/>
          <w:sz w:val="24"/>
        </w:rPr>
      </w:pPr>
      <w:r>
        <w:rPr>
          <w:rFonts w:ascii="Times New Roman" w:hAnsi="Times New Roman"/>
          <w:b/>
          <w:color w:val="000000"/>
          <w:sz w:val="24"/>
        </w:rPr>
        <w:t>ASHLAND</w:t>
      </w:r>
      <w:r>
        <w:rPr>
          <w:rFonts w:ascii="Times New Roman" w:hAnsi="Times New Roman"/>
          <w:color w:val="000000"/>
          <w:sz w:val="24"/>
        </w:rPr>
        <w:t xml:space="preserve"> </w:t>
      </w:r>
      <w:r>
        <w:rPr>
          <w:rFonts w:ascii="Times New Roman" w:hAnsi="Times New Roman"/>
          <w:b/>
          <w:color w:val="000000"/>
          <w:sz w:val="24"/>
        </w:rPr>
        <w:t>SPECIALTY</w:t>
      </w:r>
      <w:r>
        <w:rPr>
          <w:rFonts w:ascii="Times New Roman" w:hAnsi="Times New Roman"/>
          <w:color w:val="000000"/>
          <w:sz w:val="24"/>
        </w:rPr>
        <w:t xml:space="preserve"> </w:t>
      </w:r>
      <w:r>
        <w:rPr>
          <w:rFonts w:ascii="Times New Roman" w:hAnsi="Times New Roman"/>
          <w:b/>
          <w:color w:val="000000"/>
          <w:sz w:val="24"/>
        </w:rPr>
        <w:t>CHEMICAL</w:t>
      </w:r>
      <w:r>
        <w:rPr>
          <w:rFonts w:ascii="Times New Roman" w:hAnsi="Times New Roman"/>
          <w:color w:val="000000"/>
          <w:sz w:val="24"/>
        </w:rPr>
        <w:t xml:space="preserve"> </w:t>
      </w:r>
      <w:r>
        <w:rPr>
          <w:rFonts w:ascii="Times New Roman" w:hAnsi="Times New Roman"/>
          <w:b/>
          <w:color w:val="000000"/>
          <w:sz w:val="24"/>
        </w:rPr>
        <w:t>(SINGAPORE) PTE.</w:t>
      </w:r>
      <w:r>
        <w:rPr>
          <w:rFonts w:ascii="Times New Roman" w:hAnsi="Times New Roman"/>
          <w:color w:val="000000"/>
          <w:sz w:val="24"/>
        </w:rPr>
        <w:t xml:space="preserve"> </w:t>
      </w:r>
      <w:r>
        <w:rPr>
          <w:rFonts w:ascii="Times New Roman" w:hAnsi="Times New Roman"/>
          <w:b/>
          <w:color w:val="000000"/>
          <w:sz w:val="24"/>
        </w:rPr>
        <w:t>LTD</w:t>
      </w:r>
      <w:r>
        <w:rPr>
          <w:rFonts w:ascii="Times New Roman" w:hAnsi="Times New Roman"/>
          <w:color w:val="000000"/>
          <w:sz w:val="24"/>
        </w:rPr>
        <w:t xml:space="preserve"> as Singaporean Originator and Singaporean Sub-Servicer</w:t>
      </w:r>
    </w:p>
    <w:p>
      <w:pPr>
        <w:pStyle w:val="TextBody"/>
        <w:bidi w:val="0"/>
        <w:spacing w:before="180" w:after="283"/>
        <w:jc w:val="both"/>
        <w:rPr>
          <w:rFonts w:ascii="Times New Roman" w:hAnsi="Times New Roman"/>
          <w:b/>
          <w:color w:val="000000"/>
          <w:sz w:val="24"/>
        </w:rPr>
      </w:pPr>
      <w:r>
        <w:rPr>
          <w:rFonts w:ascii="Times New Roman" w:hAnsi="Times New Roman"/>
          <w:b/>
          <w:color w:val="000000"/>
          <w:sz w:val="24"/>
        </w:rPr>
        <w:t>(7)</w:t>
      </w:r>
    </w:p>
    <w:p>
      <w:pPr>
        <w:pStyle w:val="TextBody"/>
        <w:bidi w:val="0"/>
        <w:spacing w:before="180" w:after="283"/>
        <w:jc w:val="both"/>
        <w:rPr>
          <w:rFonts w:ascii="Times New Roman" w:hAnsi="Times New Roman"/>
          <w:sz w:val="24"/>
        </w:rPr>
      </w:pPr>
      <w:r>
        <w:rPr>
          <w:rFonts w:ascii="Times New Roman" w:hAnsi="Times New Roman"/>
          <w:b/>
          <w:color w:val="000000"/>
          <w:sz w:val="24"/>
        </w:rPr>
        <w:t>ASHLAND</w:t>
      </w:r>
      <w:r>
        <w:rPr>
          <w:rFonts w:ascii="Times New Roman" w:hAnsi="Times New Roman"/>
          <w:color w:val="000000"/>
          <w:sz w:val="24"/>
        </w:rPr>
        <w:t xml:space="preserve"> </w:t>
      </w:r>
      <w:r>
        <w:rPr>
          <w:rFonts w:ascii="Times New Roman" w:hAnsi="Times New Roman"/>
          <w:b/>
          <w:color w:val="000000"/>
          <w:sz w:val="24"/>
        </w:rPr>
        <w:t>SPECIALTIES</w:t>
      </w:r>
      <w:r>
        <w:rPr>
          <w:rFonts w:ascii="Times New Roman" w:hAnsi="Times New Roman"/>
          <w:color w:val="000000"/>
          <w:sz w:val="24"/>
        </w:rPr>
        <w:t xml:space="preserve"> </w:t>
      </w:r>
      <w:r>
        <w:rPr>
          <w:rFonts w:ascii="Times New Roman" w:hAnsi="Times New Roman"/>
          <w:b/>
          <w:color w:val="000000"/>
          <w:sz w:val="24"/>
        </w:rPr>
        <w:t>HISPANIA,</w:t>
      </w:r>
      <w:r>
        <w:rPr>
          <w:rFonts w:ascii="Times New Roman" w:hAnsi="Times New Roman"/>
          <w:color w:val="000000"/>
          <w:sz w:val="24"/>
        </w:rPr>
        <w:t xml:space="preserve"> </w:t>
      </w:r>
      <w:r>
        <w:rPr>
          <w:rFonts w:ascii="Times New Roman" w:hAnsi="Times New Roman"/>
          <w:b/>
          <w:color w:val="000000"/>
          <w:sz w:val="24"/>
        </w:rPr>
        <w:t>S.L.U.</w:t>
      </w:r>
      <w:r>
        <w:rPr>
          <w:rFonts w:ascii="Times New Roman" w:hAnsi="Times New Roman"/>
          <w:color w:val="000000"/>
          <w:sz w:val="24"/>
        </w:rPr>
        <w:t xml:space="preserve"> as Spanish Originator and Spanish Sub-Servicer</w:t>
      </w:r>
    </w:p>
    <w:p>
      <w:pPr>
        <w:pStyle w:val="TextBody"/>
        <w:bidi w:val="0"/>
        <w:spacing w:before="180" w:after="283"/>
        <w:jc w:val="both"/>
        <w:rPr>
          <w:rFonts w:ascii="Times New Roman" w:hAnsi="Times New Roman"/>
          <w:b/>
          <w:color w:val="000000"/>
          <w:sz w:val="24"/>
        </w:rPr>
      </w:pPr>
      <w:r>
        <w:rPr>
          <w:rFonts w:ascii="Times New Roman" w:hAnsi="Times New Roman"/>
          <w:b/>
          <w:color w:val="000000"/>
          <w:sz w:val="24"/>
        </w:rPr>
        <w:t>(8)</w:t>
      </w:r>
    </w:p>
    <w:p>
      <w:pPr>
        <w:pStyle w:val="TextBody"/>
        <w:bidi w:val="0"/>
        <w:spacing w:before="180" w:after="283"/>
        <w:jc w:val="both"/>
        <w:rPr>
          <w:rFonts w:ascii="Times New Roman" w:hAnsi="Times New Roman"/>
          <w:sz w:val="24"/>
        </w:rPr>
      </w:pPr>
      <w:r>
        <w:rPr>
          <w:rFonts w:ascii="Times New Roman" w:hAnsi="Times New Roman"/>
          <w:b/>
          <w:color w:val="000000"/>
          <w:sz w:val="24"/>
        </w:rPr>
        <w:t>ASHLAND</w:t>
      </w:r>
      <w:r>
        <w:rPr>
          <w:rFonts w:ascii="Times New Roman" w:hAnsi="Times New Roman"/>
          <w:color w:val="000000"/>
          <w:sz w:val="24"/>
        </w:rPr>
        <w:t xml:space="preserve"> </w:t>
      </w:r>
      <w:r>
        <w:rPr>
          <w:rFonts w:ascii="Times New Roman" w:hAnsi="Times New Roman"/>
          <w:b/>
          <w:color w:val="000000"/>
          <w:sz w:val="24"/>
        </w:rPr>
        <w:t>INDUSTRIES</w:t>
      </w:r>
      <w:r>
        <w:rPr>
          <w:rFonts w:ascii="Times New Roman" w:hAnsi="Times New Roman"/>
          <w:color w:val="000000"/>
          <w:sz w:val="24"/>
        </w:rPr>
        <w:t xml:space="preserve"> </w:t>
      </w:r>
      <w:r>
        <w:rPr>
          <w:rFonts w:ascii="Times New Roman" w:hAnsi="Times New Roman"/>
          <w:b/>
          <w:color w:val="000000"/>
          <w:sz w:val="24"/>
        </w:rPr>
        <w:t>EUROPE</w:t>
      </w:r>
      <w:r>
        <w:rPr>
          <w:rFonts w:ascii="Times New Roman" w:hAnsi="Times New Roman"/>
          <w:color w:val="000000"/>
          <w:sz w:val="24"/>
        </w:rPr>
        <w:t xml:space="preserve"> </w:t>
      </w:r>
      <w:r>
        <w:rPr>
          <w:rFonts w:ascii="Times New Roman" w:hAnsi="Times New Roman"/>
          <w:b/>
          <w:color w:val="000000"/>
          <w:sz w:val="24"/>
        </w:rPr>
        <w:t>GMBH</w:t>
      </w:r>
      <w:r>
        <w:rPr>
          <w:rFonts w:ascii="Times New Roman" w:hAnsi="Times New Roman"/>
          <w:color w:val="000000"/>
          <w:sz w:val="24"/>
        </w:rPr>
        <w:t xml:space="preserve"> as Swiss Originator and Swiss Sub-Servicer</w:t>
      </w:r>
    </w:p>
    <w:p>
      <w:pPr>
        <w:pStyle w:val="TextBody"/>
        <w:bidi w:val="0"/>
        <w:spacing w:before="180" w:after="283"/>
        <w:jc w:val="both"/>
        <w:rPr>
          <w:rFonts w:ascii="Times New Roman" w:hAnsi="Times New Roman"/>
          <w:b/>
          <w:color w:val="000000"/>
          <w:sz w:val="24"/>
        </w:rPr>
      </w:pPr>
      <w:r>
        <w:rPr>
          <w:rFonts w:ascii="Times New Roman" w:hAnsi="Times New Roman"/>
          <w:b/>
          <w:color w:val="000000"/>
          <w:sz w:val="24"/>
        </w:rPr>
        <w:t>(9)</w:t>
      </w:r>
    </w:p>
    <w:p>
      <w:pPr>
        <w:pStyle w:val="TextBody"/>
        <w:bidi w:val="0"/>
        <w:spacing w:before="180" w:after="283"/>
        <w:jc w:val="both"/>
        <w:rPr>
          <w:rFonts w:ascii="Times New Roman" w:hAnsi="Times New Roman"/>
          <w:sz w:val="24"/>
        </w:rPr>
      </w:pPr>
      <w:r>
        <w:rPr>
          <w:rFonts w:ascii="Times New Roman" w:hAnsi="Times New Roman"/>
          <w:b/>
          <w:color w:val="000000"/>
          <w:sz w:val="24"/>
        </w:rPr>
        <w:t>ASHLAND</w:t>
      </w:r>
      <w:r>
        <w:rPr>
          <w:rFonts w:ascii="Times New Roman" w:hAnsi="Times New Roman"/>
          <w:color w:val="000000"/>
          <w:sz w:val="24"/>
        </w:rPr>
        <w:t xml:space="preserve"> </w:t>
      </w:r>
      <w:r>
        <w:rPr>
          <w:rFonts w:ascii="Times New Roman" w:hAnsi="Times New Roman"/>
          <w:b/>
          <w:color w:val="000000"/>
          <w:sz w:val="24"/>
        </w:rPr>
        <w:t>SPECIALTIES</w:t>
      </w:r>
      <w:r>
        <w:rPr>
          <w:rFonts w:ascii="Times New Roman" w:hAnsi="Times New Roman"/>
          <w:color w:val="000000"/>
          <w:sz w:val="24"/>
        </w:rPr>
        <w:t xml:space="preserve"> </w:t>
      </w:r>
      <w:r>
        <w:rPr>
          <w:rFonts w:ascii="Times New Roman" w:hAnsi="Times New Roman"/>
          <w:b/>
          <w:color w:val="000000"/>
          <w:sz w:val="24"/>
        </w:rPr>
        <w:t>UK</w:t>
      </w:r>
      <w:r>
        <w:rPr>
          <w:rFonts w:ascii="Times New Roman" w:hAnsi="Times New Roman"/>
          <w:color w:val="000000"/>
          <w:sz w:val="24"/>
        </w:rPr>
        <w:t xml:space="preserve"> </w:t>
      </w:r>
      <w:r>
        <w:rPr>
          <w:rFonts w:ascii="Times New Roman" w:hAnsi="Times New Roman"/>
          <w:b/>
          <w:color w:val="000000"/>
          <w:sz w:val="24"/>
        </w:rPr>
        <w:t>LIMITED</w:t>
      </w:r>
      <w:r>
        <w:rPr>
          <w:rFonts w:ascii="Times New Roman" w:hAnsi="Times New Roman"/>
          <w:color w:val="000000"/>
          <w:sz w:val="24"/>
        </w:rPr>
        <w:t xml:space="preserve"> as UK Originator and UK Sub-Servicer</w:t>
      </w:r>
    </w:p>
    <w:p>
      <w:pPr>
        <w:pStyle w:val="TextBody"/>
        <w:bidi w:val="0"/>
        <w:spacing w:before="180" w:after="283"/>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180" w:after="283"/>
        <w:jc w:val="both"/>
        <w:rPr>
          <w:rFonts w:ascii="Times New Roman" w:hAnsi="Times New Roman"/>
          <w:sz w:val="24"/>
        </w:rPr>
      </w:pPr>
      <w:r>
        <w:rPr>
          <w:rFonts w:ascii="Times New Roman" w:hAnsi="Times New Roman"/>
          <w:b/>
          <w:color w:val="000000"/>
          <w:sz w:val="24"/>
        </w:rPr>
        <w:t>ASHLAND</w:t>
      </w:r>
      <w:r>
        <w:rPr>
          <w:rFonts w:ascii="Times New Roman" w:hAnsi="Times New Roman"/>
          <w:color w:val="000000"/>
          <w:sz w:val="24"/>
        </w:rPr>
        <w:t xml:space="preserve"> </w:t>
      </w:r>
      <w:r>
        <w:rPr>
          <w:rFonts w:ascii="Times New Roman" w:hAnsi="Times New Roman"/>
          <w:b/>
          <w:color w:val="000000"/>
          <w:sz w:val="24"/>
        </w:rPr>
        <w:t>SPECIALTIES</w:t>
      </w:r>
      <w:r>
        <w:rPr>
          <w:rFonts w:ascii="Times New Roman" w:hAnsi="Times New Roman"/>
          <w:color w:val="000000"/>
          <w:sz w:val="24"/>
        </w:rPr>
        <w:t xml:space="preserve"> </w:t>
      </w:r>
      <w:r>
        <w:rPr>
          <w:rFonts w:ascii="Times New Roman" w:hAnsi="Times New Roman"/>
          <w:b/>
          <w:color w:val="000000"/>
          <w:sz w:val="24"/>
        </w:rPr>
        <w:t>IRELAND</w:t>
      </w:r>
      <w:r>
        <w:rPr>
          <w:rFonts w:ascii="Times New Roman" w:hAnsi="Times New Roman"/>
          <w:color w:val="000000"/>
          <w:sz w:val="24"/>
        </w:rPr>
        <w:t xml:space="preserve"> </w:t>
      </w:r>
      <w:r>
        <w:rPr>
          <w:rFonts w:ascii="Times New Roman" w:hAnsi="Times New Roman"/>
          <w:b/>
          <w:color w:val="000000"/>
          <w:sz w:val="24"/>
        </w:rPr>
        <w:t>LIMITED</w:t>
      </w:r>
      <w:r>
        <w:rPr>
          <w:rFonts w:ascii="Times New Roman" w:hAnsi="Times New Roman"/>
          <w:color w:val="000000"/>
          <w:sz w:val="24"/>
        </w:rPr>
        <w:t xml:space="preserve"> as Irish Originator, Servicer and Parent</w:t>
      </w:r>
    </w:p>
    <w:p>
      <w:pPr>
        <w:pStyle w:val="TextBody"/>
        <w:bidi w:val="0"/>
        <w:spacing w:before="180" w:after="283"/>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180" w:after="283"/>
        <w:jc w:val="both"/>
        <w:rPr>
          <w:rFonts w:ascii="Times New Roman" w:hAnsi="Times New Roman"/>
          <w:sz w:val="24"/>
        </w:rPr>
      </w:pPr>
      <w:r>
        <w:rPr>
          <w:rFonts w:ascii="Times New Roman" w:hAnsi="Times New Roman"/>
          <w:b/>
          <w:color w:val="000000"/>
          <w:sz w:val="24"/>
        </w:rPr>
        <w:t>BANK</w:t>
      </w:r>
      <w:r>
        <w:rPr>
          <w:rFonts w:ascii="Times New Roman" w:hAnsi="Times New Roman"/>
          <w:color w:val="000000"/>
          <w:sz w:val="24"/>
        </w:rPr>
        <w:t xml:space="preserve"> </w:t>
      </w:r>
      <w:r>
        <w:rPr>
          <w:rFonts w:ascii="Times New Roman" w:hAnsi="Times New Roman"/>
          <w:b/>
          <w:color w:val="000000"/>
          <w:sz w:val="24"/>
        </w:rPr>
        <w:t>OF</w:t>
      </w:r>
      <w:r>
        <w:rPr>
          <w:rFonts w:ascii="Times New Roman" w:hAnsi="Times New Roman"/>
          <w:color w:val="000000"/>
          <w:sz w:val="24"/>
        </w:rPr>
        <w:t xml:space="preserve"> </w:t>
      </w:r>
      <w:r>
        <w:rPr>
          <w:rFonts w:ascii="Times New Roman" w:hAnsi="Times New Roman"/>
          <w:b/>
          <w:color w:val="000000"/>
          <w:sz w:val="24"/>
        </w:rPr>
        <w:t>AMERICA,</w:t>
      </w:r>
      <w:r>
        <w:rPr>
          <w:rFonts w:ascii="Times New Roman" w:hAnsi="Times New Roman"/>
          <w:color w:val="000000"/>
          <w:sz w:val="24"/>
        </w:rPr>
        <w:t xml:space="preserve"> </w:t>
      </w:r>
      <w:r>
        <w:rPr>
          <w:rFonts w:ascii="Times New Roman" w:hAnsi="Times New Roman"/>
          <w:b/>
          <w:color w:val="000000"/>
          <w:sz w:val="24"/>
        </w:rPr>
        <w:t>N.A.</w:t>
      </w:r>
      <w:r>
        <w:rPr>
          <w:rFonts w:ascii="Times New Roman" w:hAnsi="Times New Roman"/>
          <w:color w:val="000000"/>
          <w:sz w:val="24"/>
        </w:rPr>
        <w:t xml:space="preserve"> as Administrative Agent and Structuring Agent</w:t>
      </w:r>
    </w:p>
    <w:p>
      <w:pPr>
        <w:pStyle w:val="TextBody"/>
        <w:bidi w:val="0"/>
        <w:spacing w:before="180" w:after="283"/>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180" w:after="283"/>
        <w:jc w:val="both"/>
        <w:rPr>
          <w:rFonts w:ascii="Times New Roman" w:hAnsi="Times New Roman"/>
          <w:sz w:val="24"/>
        </w:rPr>
      </w:pPr>
      <w:r>
        <w:rPr>
          <w:rFonts w:ascii="Times New Roman" w:hAnsi="Times New Roman"/>
          <w:b/>
          <w:color w:val="000000"/>
          <w:sz w:val="24"/>
        </w:rPr>
        <w:t>BANK</w:t>
      </w:r>
      <w:r>
        <w:rPr>
          <w:rFonts w:ascii="Times New Roman" w:hAnsi="Times New Roman"/>
          <w:color w:val="000000"/>
          <w:sz w:val="24"/>
        </w:rPr>
        <w:t xml:space="preserve"> </w:t>
      </w:r>
      <w:r>
        <w:rPr>
          <w:rFonts w:ascii="Times New Roman" w:hAnsi="Times New Roman"/>
          <w:b/>
          <w:color w:val="000000"/>
          <w:sz w:val="24"/>
        </w:rPr>
        <w:t>OF</w:t>
      </w:r>
      <w:r>
        <w:rPr>
          <w:rFonts w:ascii="Times New Roman" w:hAnsi="Times New Roman"/>
          <w:color w:val="000000"/>
          <w:sz w:val="24"/>
        </w:rPr>
        <w:t xml:space="preserve"> </w:t>
      </w:r>
      <w:r>
        <w:rPr>
          <w:rFonts w:ascii="Times New Roman" w:hAnsi="Times New Roman"/>
          <w:b/>
          <w:color w:val="000000"/>
          <w:sz w:val="24"/>
        </w:rPr>
        <w:t>AMERICA</w:t>
      </w:r>
      <w:r>
        <w:rPr>
          <w:rFonts w:ascii="Times New Roman" w:hAnsi="Times New Roman"/>
          <w:color w:val="000000"/>
          <w:sz w:val="24"/>
        </w:rPr>
        <w:t xml:space="preserve"> </w:t>
      </w:r>
      <w:r>
        <w:rPr>
          <w:rFonts w:ascii="Times New Roman" w:hAnsi="Times New Roman"/>
          <w:b/>
          <w:color w:val="000000"/>
          <w:sz w:val="24"/>
        </w:rPr>
        <w:t>EUROPE</w:t>
      </w:r>
      <w:r>
        <w:rPr>
          <w:rFonts w:ascii="Times New Roman" w:hAnsi="Times New Roman"/>
          <w:color w:val="000000"/>
          <w:sz w:val="24"/>
        </w:rPr>
        <w:t xml:space="preserve"> </w:t>
      </w:r>
      <w:r>
        <w:rPr>
          <w:rFonts w:ascii="Times New Roman" w:hAnsi="Times New Roman"/>
          <w:b/>
          <w:color w:val="000000"/>
          <w:sz w:val="24"/>
        </w:rPr>
        <w:t>DAC</w:t>
      </w:r>
      <w:r>
        <w:rPr>
          <w:rFonts w:ascii="Times New Roman" w:hAnsi="Times New Roman"/>
          <w:color w:val="000000"/>
          <w:sz w:val="24"/>
        </w:rPr>
        <w:t xml:space="preserve"> as Committed Purchaser</w:t>
      </w:r>
    </w:p>
    <w:p>
      <w:pPr>
        <w:pStyle w:val="TextBody"/>
        <w:bidi w:val="0"/>
        <w:spacing w:before="180" w:after="283"/>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180" w:after="283"/>
        <w:jc w:val="both"/>
        <w:rPr>
          <w:rFonts w:ascii="Times New Roman" w:hAnsi="Times New Roman"/>
          <w:sz w:val="24"/>
        </w:rPr>
      </w:pPr>
      <w:r>
        <w:rPr>
          <w:rFonts w:ascii="Times New Roman" w:hAnsi="Times New Roman"/>
          <w:b/>
          <w:color w:val="000000"/>
          <w:sz w:val="24"/>
        </w:rPr>
        <w:t>ING</w:t>
      </w:r>
      <w:r>
        <w:rPr>
          <w:rFonts w:ascii="Times New Roman" w:hAnsi="Times New Roman"/>
          <w:color w:val="000000"/>
          <w:sz w:val="24"/>
        </w:rPr>
        <w:t xml:space="preserve"> </w:t>
      </w:r>
      <w:r>
        <w:rPr>
          <w:rFonts w:ascii="Times New Roman" w:hAnsi="Times New Roman"/>
          <w:b/>
          <w:color w:val="000000"/>
          <w:sz w:val="24"/>
        </w:rPr>
        <w:t>BELIGUM</w:t>
      </w:r>
      <w:r>
        <w:rPr>
          <w:rFonts w:ascii="Times New Roman" w:hAnsi="Times New Roman"/>
          <w:color w:val="000000"/>
          <w:sz w:val="24"/>
        </w:rPr>
        <w:t xml:space="preserve"> </w:t>
      </w:r>
      <w:r>
        <w:rPr>
          <w:rFonts w:ascii="Times New Roman" w:hAnsi="Times New Roman"/>
          <w:b/>
          <w:color w:val="000000"/>
          <w:sz w:val="24"/>
        </w:rPr>
        <w:t>SA/NV</w:t>
      </w:r>
      <w:r>
        <w:rPr>
          <w:rFonts w:ascii="Times New Roman" w:hAnsi="Times New Roman"/>
          <w:color w:val="000000"/>
          <w:sz w:val="24"/>
        </w:rPr>
        <w:t xml:space="preserve"> as ING Group Agent</w:t>
      </w:r>
    </w:p>
    <w:p>
      <w:pPr>
        <w:pStyle w:val="TextBody"/>
        <w:bidi w:val="0"/>
        <w:spacing w:before="180" w:after="283"/>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180" w:after="283"/>
        <w:jc w:val="both"/>
        <w:rPr>
          <w:rFonts w:ascii="Times New Roman" w:hAnsi="Times New Roman"/>
          <w:sz w:val="24"/>
        </w:rPr>
      </w:pPr>
      <w:r>
        <w:rPr>
          <w:rFonts w:ascii="Times New Roman" w:hAnsi="Times New Roman"/>
          <w:b/>
          <w:color w:val="000000"/>
          <w:sz w:val="24"/>
        </w:rPr>
        <w:t>MONT</w:t>
      </w:r>
      <w:r>
        <w:rPr>
          <w:rFonts w:ascii="Times New Roman" w:hAnsi="Times New Roman"/>
          <w:color w:val="000000"/>
          <w:sz w:val="24"/>
        </w:rPr>
        <w:t xml:space="preserve"> </w:t>
      </w:r>
      <w:r>
        <w:rPr>
          <w:rFonts w:ascii="Times New Roman" w:hAnsi="Times New Roman"/>
          <w:b/>
          <w:color w:val="000000"/>
          <w:sz w:val="24"/>
        </w:rPr>
        <w:t>BLANC</w:t>
      </w:r>
      <w:r>
        <w:rPr>
          <w:rFonts w:ascii="Times New Roman" w:hAnsi="Times New Roman"/>
          <w:color w:val="000000"/>
          <w:sz w:val="24"/>
        </w:rPr>
        <w:t xml:space="preserve"> </w:t>
      </w:r>
      <w:r>
        <w:rPr>
          <w:rFonts w:ascii="Times New Roman" w:hAnsi="Times New Roman"/>
          <w:b/>
          <w:color w:val="000000"/>
          <w:sz w:val="24"/>
        </w:rPr>
        <w:t>CAPITAL</w:t>
      </w:r>
      <w:r>
        <w:rPr>
          <w:rFonts w:ascii="Times New Roman" w:hAnsi="Times New Roman"/>
          <w:color w:val="000000"/>
          <w:sz w:val="24"/>
        </w:rPr>
        <w:t xml:space="preserve"> CORP as Committed Purchaser</w:t>
      </w:r>
    </w:p>
    <w:p>
      <w:pPr>
        <w:pStyle w:val="TextBody"/>
        <w:bidi w:val="0"/>
        <w:jc w:val="center"/>
        <w:rPr/>
      </w:pPr>
      <w:r>
        <w:rPr/>
        <w:t> </w:t>
      </w:r>
    </w:p>
    <w:p>
      <w:pPr>
        <w:pStyle w:val="TextBody"/>
        <w:pBdr>
          <w:top w:val="single" w:sz="8" w:space="1" w:color="000000"/>
        </w:pBdr>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DEED OF AMENDMENT AND RESTATEMENT</w:t>
      </w:r>
    </w:p>
    <w:p>
      <w:pPr>
        <w:pStyle w:val="TextBody"/>
        <w:pBdr>
          <w:bottom w:val="single" w:sz="8" w:space="1" w:color="000000"/>
        </w:pBdr>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tbl>
      <w:tblPr>
        <w:tblW w:w="4856" w:type="dxa"/>
        <w:jc w:val="left"/>
        <w:tblInd w:w="0" w:type="dxa"/>
        <w:tblLayout w:type="fixed"/>
        <w:tblCellMar>
          <w:top w:w="28" w:type="dxa"/>
          <w:left w:w="28" w:type="dxa"/>
          <w:bottom w:w="28" w:type="dxa"/>
          <w:right w:w="28" w:type="dxa"/>
        </w:tblCellMar>
      </w:tblPr>
      <w:tblGrid>
        <w:gridCol w:w="301"/>
        <w:gridCol w:w="4261"/>
        <w:gridCol w:w="294"/>
      </w:tblGrid>
      <w:tr>
        <w:trPr/>
        <w:tc>
          <w:tcPr>
            <w:tcW w:w="301" w:type="dxa"/>
            <w:tcBorders/>
            <w:vAlign w:val="center"/>
          </w:tcPr>
          <w:p>
            <w:pPr>
              <w:pStyle w:val="TableContents"/>
              <w:bidi w:val="0"/>
              <w:spacing w:before="0" w:after="283"/>
              <w:jc w:val="left"/>
              <w:rPr>
                <w:sz w:val="4"/>
                <w:szCs w:val="4"/>
              </w:rPr>
            </w:pPr>
            <w:r>
              <w:rPr>
                <w:sz w:val="4"/>
                <w:szCs w:val="4"/>
              </w:rPr>
            </w:r>
          </w:p>
        </w:tc>
        <w:tc>
          <w:tcPr>
            <w:tcW w:w="426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1.</w:t>
            </w:r>
          </w:p>
        </w:tc>
        <w:tc>
          <w:tcPr>
            <w:tcW w:w="426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Definitions and interpretation</w:t>
            </w:r>
          </w:p>
        </w:tc>
        <w:tc>
          <w:tcPr>
            <w:tcW w:w="294"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2</w:t>
            </w:r>
          </w:p>
        </w:tc>
      </w:tr>
      <w:tr>
        <w:trPr/>
        <w:tc>
          <w:tcPr>
            <w:tcW w:w="30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2.</w:t>
            </w:r>
          </w:p>
        </w:tc>
        <w:tc>
          <w:tcPr>
            <w:tcW w:w="426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Conditions Precedent</w:t>
            </w:r>
          </w:p>
        </w:tc>
        <w:tc>
          <w:tcPr>
            <w:tcW w:w="294"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2</w:t>
            </w:r>
          </w:p>
        </w:tc>
      </w:tr>
      <w:tr>
        <w:trPr/>
        <w:tc>
          <w:tcPr>
            <w:tcW w:w="30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3.</w:t>
            </w:r>
          </w:p>
        </w:tc>
        <w:tc>
          <w:tcPr>
            <w:tcW w:w="426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Amendment and restatement</w:t>
            </w:r>
          </w:p>
        </w:tc>
        <w:tc>
          <w:tcPr>
            <w:tcW w:w="294"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3</w:t>
            </w:r>
          </w:p>
        </w:tc>
      </w:tr>
      <w:tr>
        <w:trPr/>
        <w:tc>
          <w:tcPr>
            <w:tcW w:w="30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4.</w:t>
            </w:r>
          </w:p>
        </w:tc>
        <w:tc>
          <w:tcPr>
            <w:tcW w:w="426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Confirmations</w:t>
            </w:r>
          </w:p>
        </w:tc>
        <w:tc>
          <w:tcPr>
            <w:tcW w:w="294"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3</w:t>
            </w:r>
          </w:p>
        </w:tc>
      </w:tr>
      <w:tr>
        <w:trPr/>
        <w:tc>
          <w:tcPr>
            <w:tcW w:w="30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5.</w:t>
            </w:r>
          </w:p>
        </w:tc>
        <w:tc>
          <w:tcPr>
            <w:tcW w:w="426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Representations</w:t>
            </w:r>
          </w:p>
        </w:tc>
        <w:tc>
          <w:tcPr>
            <w:tcW w:w="294"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4</w:t>
            </w:r>
          </w:p>
        </w:tc>
      </w:tr>
      <w:tr>
        <w:trPr/>
        <w:tc>
          <w:tcPr>
            <w:tcW w:w="30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6.</w:t>
            </w:r>
          </w:p>
        </w:tc>
        <w:tc>
          <w:tcPr>
            <w:tcW w:w="426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Relationship with other Finance Documents</w:t>
            </w:r>
          </w:p>
        </w:tc>
        <w:tc>
          <w:tcPr>
            <w:tcW w:w="294"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5</w:t>
            </w:r>
          </w:p>
        </w:tc>
      </w:tr>
      <w:tr>
        <w:trPr/>
        <w:tc>
          <w:tcPr>
            <w:tcW w:w="30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7.</w:t>
            </w:r>
          </w:p>
        </w:tc>
        <w:tc>
          <w:tcPr>
            <w:tcW w:w="426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Law and jurisdiction</w:t>
            </w:r>
          </w:p>
        </w:tc>
        <w:tc>
          <w:tcPr>
            <w:tcW w:w="294"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4"/>
              </w:rPr>
            </w:pPr>
            <w:r>
              <w:rPr>
                <w:rFonts w:ascii="Times New Roman" w:hAnsi="Times New Roman"/>
                <w:color w:val="000000"/>
                <w:sz w:val="24"/>
              </w:rPr>
              <w:t>5</w:t>
            </w:r>
          </w:p>
        </w:tc>
      </w:tr>
      <w:tr>
        <w:trPr/>
        <w:tc>
          <w:tcPr>
            <w:tcW w:w="30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8.</w:t>
            </w:r>
          </w:p>
        </w:tc>
        <w:tc>
          <w:tcPr>
            <w:tcW w:w="426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Bail-In Recognition</w:t>
            </w:r>
          </w:p>
        </w:tc>
        <w:tc>
          <w:tcPr>
            <w:tcW w:w="294" w:type="dxa"/>
            <w:tcBorders/>
            <w:tcMar>
              <w:top w:w="0" w:type="dxa"/>
              <w:left w:w="0" w:type="dxa"/>
              <w:bottom w:w="0" w:type="dxa"/>
              <w:right w:w="0" w:type="dxa"/>
            </w:tcMar>
            <w:vAlign w:val="center"/>
          </w:tcPr>
          <w:p>
            <w:pPr>
              <w:pStyle w:val="TableContents"/>
              <w:bidi w:val="0"/>
              <w:spacing w:before="60" w:after="283"/>
              <w:ind w:left="0" w:right="0" w:firstLine="23"/>
              <w:jc w:val="right"/>
              <w:rPr>
                <w:rFonts w:ascii="Times New Roman" w:hAnsi="Times New Roman"/>
                <w:color w:val="000000"/>
                <w:sz w:val="24"/>
              </w:rPr>
            </w:pPr>
            <w:r>
              <w:rPr>
                <w:rFonts w:ascii="Times New Roman" w:hAnsi="Times New Roman"/>
                <w:color w:val="000000"/>
                <w:sz w:val="24"/>
              </w:rPr>
              <w:t>5</w:t>
            </w:r>
          </w:p>
        </w:tc>
      </w:tr>
      <w:tr>
        <w:trPr/>
        <w:tc>
          <w:tcPr>
            <w:tcW w:w="4856" w:type="dxa"/>
            <w:gridSpan w:val="3"/>
            <w:tcBorders/>
            <w:tcMar>
              <w:top w:w="0" w:type="dxa"/>
              <w:left w:w="0" w:type="dxa"/>
              <w:bottom w:w="0" w:type="dxa"/>
              <w:right w:w="0" w:type="dxa"/>
            </w:tcMar>
            <w:vAlign w:val="center"/>
          </w:tcPr>
          <w:p>
            <w:pPr>
              <w:pStyle w:val="TableContents"/>
              <w:bidi w:val="0"/>
              <w:spacing w:before="720" w:after="283"/>
              <w:ind w:left="0" w:right="0" w:firstLine="23"/>
              <w:jc w:val="left"/>
              <w:rPr>
                <w:rFonts w:ascii="Times New Roman" w:hAnsi="Times New Roman"/>
                <w:b/>
                <w:color w:val="000000"/>
                <w:sz w:val="24"/>
              </w:rPr>
            </w:pPr>
            <w:r>
              <w:rPr>
                <w:rFonts w:ascii="Times New Roman" w:hAnsi="Times New Roman"/>
                <w:b/>
                <w:color w:val="000000"/>
                <w:sz w:val="24"/>
              </w:rPr>
              <w:t>Schedules</w:t>
            </w:r>
          </w:p>
        </w:tc>
      </w:tr>
      <w:tr>
        <w:trPr/>
        <w:tc>
          <w:tcPr>
            <w:tcW w:w="30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1.</w:t>
            </w:r>
          </w:p>
        </w:tc>
        <w:tc>
          <w:tcPr>
            <w:tcW w:w="426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Guarantors and Security Obligors</w:t>
            </w:r>
          </w:p>
        </w:tc>
        <w:tc>
          <w:tcPr>
            <w:tcW w:w="294" w:type="dxa"/>
            <w:tcBorders/>
            <w:tcMar>
              <w:top w:w="0" w:type="dxa"/>
              <w:left w:w="0" w:type="dxa"/>
              <w:bottom w:w="0" w:type="dxa"/>
              <w:right w:w="0" w:type="dxa"/>
            </w:tcMar>
            <w:vAlign w:val="center"/>
          </w:tcPr>
          <w:p>
            <w:pPr>
              <w:pStyle w:val="TableContents"/>
              <w:bidi w:val="0"/>
              <w:spacing w:before="60" w:after="283"/>
              <w:jc w:val="left"/>
              <w:rPr/>
            </w:pPr>
            <w:r>
              <w:rPr/>
              <w:t> </w:t>
            </w:r>
          </w:p>
        </w:tc>
      </w:tr>
      <w:tr>
        <w:trPr/>
        <w:tc>
          <w:tcPr>
            <w:tcW w:w="301" w:type="dxa"/>
            <w:tcBorders/>
            <w:tcMar>
              <w:top w:w="0" w:type="dxa"/>
              <w:left w:w="0" w:type="dxa"/>
              <w:bottom w:w="0" w:type="dxa"/>
              <w:right w:w="0" w:type="dxa"/>
            </w:tcMar>
            <w:vAlign w:val="center"/>
          </w:tcPr>
          <w:p>
            <w:pPr>
              <w:pStyle w:val="TableContents"/>
              <w:bidi w:val="0"/>
              <w:spacing w:before="6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Part 1 Guarantors</w:t>
            </w:r>
          </w:p>
        </w:tc>
        <w:tc>
          <w:tcPr>
            <w:tcW w:w="294" w:type="dxa"/>
            <w:tcBorders/>
            <w:tcMar>
              <w:top w:w="0" w:type="dxa"/>
              <w:left w:w="0" w:type="dxa"/>
              <w:bottom w:w="0" w:type="dxa"/>
              <w:right w:w="0" w:type="dxa"/>
            </w:tcMar>
            <w:vAlign w:val="center"/>
          </w:tcPr>
          <w:p>
            <w:pPr>
              <w:pStyle w:val="TableContents"/>
              <w:bidi w:val="0"/>
              <w:spacing w:before="60" w:after="283"/>
              <w:jc w:val="left"/>
              <w:rPr/>
            </w:pPr>
            <w:r>
              <w:rPr/>
              <w:t> </w:t>
            </w:r>
          </w:p>
        </w:tc>
      </w:tr>
      <w:tr>
        <w:trPr/>
        <w:tc>
          <w:tcPr>
            <w:tcW w:w="301"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Part 2 Security Obligors</w:t>
            </w:r>
          </w:p>
        </w:tc>
        <w:tc>
          <w:tcPr>
            <w:tcW w:w="294" w:type="dxa"/>
            <w:tcBorders/>
            <w:tcMar>
              <w:top w:w="0" w:type="dxa"/>
              <w:left w:w="0" w:type="dxa"/>
              <w:bottom w:w="0" w:type="dxa"/>
              <w:right w:w="0" w:type="dxa"/>
            </w:tcMar>
            <w:vAlign w:val="center"/>
          </w:tcPr>
          <w:p>
            <w:pPr>
              <w:pStyle w:val="TableContents"/>
              <w:bidi w:val="0"/>
              <w:spacing w:before="60" w:after="283"/>
              <w:jc w:val="left"/>
              <w:rPr/>
            </w:pPr>
            <w:r>
              <w:rPr/>
              <w:t> </w:t>
            </w:r>
          </w:p>
        </w:tc>
      </w:tr>
      <w:tr>
        <w:trPr/>
        <w:tc>
          <w:tcPr>
            <w:tcW w:w="30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2.</w:t>
            </w:r>
          </w:p>
        </w:tc>
        <w:tc>
          <w:tcPr>
            <w:tcW w:w="426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Conditions Precedent</w:t>
            </w:r>
          </w:p>
        </w:tc>
        <w:tc>
          <w:tcPr>
            <w:tcW w:w="294" w:type="dxa"/>
            <w:tcBorders/>
            <w:tcMar>
              <w:top w:w="0" w:type="dxa"/>
              <w:left w:w="0" w:type="dxa"/>
              <w:bottom w:w="0" w:type="dxa"/>
              <w:right w:w="0" w:type="dxa"/>
            </w:tcMar>
            <w:vAlign w:val="center"/>
          </w:tcPr>
          <w:p>
            <w:pPr>
              <w:pStyle w:val="TableContents"/>
              <w:bidi w:val="0"/>
              <w:spacing w:before="60" w:after="283"/>
              <w:jc w:val="left"/>
              <w:rPr/>
            </w:pPr>
            <w:r>
              <w:rPr/>
              <w:t> </w:t>
            </w:r>
          </w:p>
        </w:tc>
      </w:tr>
      <w:tr>
        <w:trPr/>
        <w:tc>
          <w:tcPr>
            <w:tcW w:w="30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3.</w:t>
            </w:r>
          </w:p>
        </w:tc>
        <w:tc>
          <w:tcPr>
            <w:tcW w:w="426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4"/>
              </w:rPr>
            </w:pPr>
            <w:r>
              <w:rPr>
                <w:rFonts w:ascii="Times New Roman" w:hAnsi="Times New Roman"/>
                <w:color w:val="000000"/>
                <w:sz w:val="24"/>
              </w:rPr>
              <w:t>The Amended agreement</w:t>
            </w:r>
          </w:p>
        </w:tc>
        <w:tc>
          <w:tcPr>
            <w:tcW w:w="294" w:type="dxa"/>
            <w:tcBorders/>
            <w:tcMar>
              <w:top w:w="0" w:type="dxa"/>
              <w:left w:w="0" w:type="dxa"/>
              <w:bottom w:w="0" w:type="dxa"/>
              <w:right w:w="0" w:type="dxa"/>
            </w:tcMar>
            <w:vAlign w:val="center"/>
          </w:tcPr>
          <w:p>
            <w:pPr>
              <w:pStyle w:val="TableContents"/>
              <w:bidi w:val="0"/>
              <w:spacing w:before="6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4"/>
        </w:rPr>
      </w:pPr>
      <w:r>
        <w:rPr>
          <w:rFonts w:ascii="Times New Roman" w:hAnsi="Times New Roman"/>
          <w:b/>
          <w:color w:val="000000"/>
          <w:sz w:val="24"/>
        </w:rPr>
        <w:t>THIS DEED OF AMENDMENT AND RESTATEMENT</w:t>
      </w:r>
      <w:r>
        <w:rPr>
          <w:rFonts w:ascii="Times New Roman" w:hAnsi="Times New Roman"/>
          <w:color w:val="000000"/>
          <w:sz w:val="24"/>
        </w:rPr>
        <w:t xml:space="preserve"> is dated </w:t>
      </w:r>
      <w:r>
        <w:rPr>
          <w:rFonts w:ascii="Times New Roman" w:hAnsi="Times New Roman"/>
          <w:color w:val="000000"/>
          <w:sz w:val="24"/>
          <w:u w:val="single"/>
        </w:rPr>
        <w:t xml:space="preserve">24 September </w:t>
      </w:r>
      <w:r>
        <w:rPr>
          <w:rFonts w:ascii="Times New Roman" w:hAnsi="Times New Roman"/>
          <w:color w:val="000000"/>
          <w:sz w:val="24"/>
        </w:rPr>
        <w:t>2026 and made between: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w:t>
      </w:r>
    </w:p>
    <w:p>
      <w:pPr>
        <w:pStyle w:val="TextBody"/>
        <w:bidi w:val="0"/>
        <w:spacing w:before="240" w:after="283"/>
        <w:jc w:val="both"/>
        <w:rPr>
          <w:rFonts w:ascii="Times New Roman" w:hAnsi="Times New Roman"/>
          <w:sz w:val="24"/>
        </w:rPr>
      </w:pPr>
      <w:r>
        <w:rPr>
          <w:rFonts w:ascii="Times New Roman" w:hAnsi="Times New Roman"/>
          <w:color w:val="000000"/>
          <w:sz w:val="24"/>
        </w:rPr>
        <w:t>ASHLAND INTERNATIONAL RECEIVABLES DESIGNATED ACTIVITY COMPANY, a designated activity company incorporated in Ireland with company number 745736, whose registered office is at Ground Floor, Two Dockland Central, Guild Street, North Dock, Dublin 1, D01 K2C5, Ireland, as Seller (together with its successors and assigns, the “</w:t>
      </w:r>
      <w:r>
        <w:rPr>
          <w:rFonts w:ascii="Times New Roman" w:hAnsi="Times New Roman"/>
          <w:color w:val="000000"/>
          <w:sz w:val="24"/>
          <w:u w:val="single"/>
        </w:rPr>
        <w:t>Seller</w:t>
      </w:r>
      <w:r>
        <w:rPr>
          <w:rFonts w:ascii="Times New Roman" w:hAnsi="Times New Roman"/>
          <w:color w:val="000000"/>
          <w:sz w:val="24"/>
        </w:rPr>
        <w: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w:t>
      </w:r>
    </w:p>
    <w:p>
      <w:pPr>
        <w:pStyle w:val="TextBody"/>
        <w:bidi w:val="0"/>
        <w:spacing w:before="240" w:after="283"/>
        <w:jc w:val="both"/>
        <w:rPr>
          <w:rFonts w:ascii="Times New Roman" w:hAnsi="Times New Roman"/>
          <w:sz w:val="24"/>
        </w:rPr>
      </w:pPr>
      <w:r>
        <w:rPr>
          <w:rFonts w:ascii="Times New Roman" w:hAnsi="Times New Roman"/>
          <w:b/>
          <w:color w:val="000000"/>
          <w:sz w:val="24"/>
        </w:rPr>
        <w:t>ASHLAND</w:t>
      </w:r>
      <w:r>
        <w:rPr>
          <w:rFonts w:ascii="Times New Roman" w:hAnsi="Times New Roman"/>
          <w:color w:val="000000"/>
          <w:sz w:val="24"/>
        </w:rPr>
        <w:t xml:space="preserve"> </w:t>
      </w:r>
      <w:r>
        <w:rPr>
          <w:rFonts w:ascii="Times New Roman" w:hAnsi="Times New Roman"/>
          <w:b/>
          <w:color w:val="000000"/>
          <w:sz w:val="24"/>
        </w:rPr>
        <w:t>INC</w:t>
      </w:r>
      <w:r>
        <w:rPr>
          <w:rFonts w:ascii="Times New Roman" w:hAnsi="Times New Roman"/>
          <w:color w:val="000000"/>
          <w:sz w:val="24"/>
        </w:rPr>
        <w:t>. as Performance Guarantor (“</w:t>
      </w:r>
      <w:r>
        <w:rPr>
          <w:rFonts w:ascii="Times New Roman" w:hAnsi="Times New Roman"/>
          <w:color w:val="000000"/>
          <w:sz w:val="24"/>
          <w:u w:val="single"/>
        </w:rPr>
        <w:t>Ashland</w:t>
      </w:r>
      <w:r>
        <w:rPr>
          <w:rFonts w:ascii="Times New Roman" w:hAnsi="Times New Roman"/>
          <w:color w:val="000000"/>
          <w:sz w:val="24"/>
        </w:rPr>
        <w: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(3)</w:t>
      </w:r>
    </w:p>
    <w:p>
      <w:pPr>
        <w:pStyle w:val="TextBody"/>
        <w:bidi w:val="0"/>
        <w:spacing w:before="240" w:after="283"/>
        <w:jc w:val="both"/>
        <w:rPr>
          <w:rFonts w:ascii="Times New Roman" w:hAnsi="Times New Roman"/>
          <w:sz w:val="24"/>
        </w:rPr>
      </w:pPr>
      <w:r>
        <w:rPr>
          <w:rFonts w:ascii="Times New Roman" w:hAnsi="Times New Roman"/>
          <w:b/>
          <w:color w:val="000000"/>
          <w:sz w:val="24"/>
        </w:rPr>
        <w:t xml:space="preserve">ASHLAND INDUSTRIES FRANCE SAS </w:t>
      </w:r>
      <w:r>
        <w:rPr>
          <w:rFonts w:ascii="Times New Roman" w:hAnsi="Times New Roman"/>
          <w:color w:val="000000"/>
          <w:sz w:val="24"/>
        </w:rPr>
        <w:t>as French Originator and French Sub-Servicer;</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(4)</w:t>
      </w:r>
    </w:p>
    <w:p>
      <w:pPr>
        <w:pStyle w:val="TextBody"/>
        <w:bidi w:val="0"/>
        <w:spacing w:before="240" w:after="283"/>
        <w:jc w:val="both"/>
        <w:rPr>
          <w:rFonts w:ascii="Times New Roman" w:hAnsi="Times New Roman"/>
          <w:sz w:val="24"/>
        </w:rPr>
      </w:pPr>
      <w:r>
        <w:rPr>
          <w:rFonts w:ascii="Times New Roman" w:hAnsi="Times New Roman"/>
          <w:b/>
          <w:color w:val="000000"/>
          <w:sz w:val="24"/>
        </w:rPr>
        <w:t>ASHLAND</w:t>
      </w:r>
      <w:r>
        <w:rPr>
          <w:rFonts w:ascii="Times New Roman" w:hAnsi="Times New Roman"/>
          <w:color w:val="000000"/>
          <w:sz w:val="24"/>
        </w:rPr>
        <w:t xml:space="preserve"> </w:t>
      </w:r>
      <w:r>
        <w:rPr>
          <w:rFonts w:ascii="Times New Roman" w:hAnsi="Times New Roman"/>
          <w:b/>
          <w:color w:val="000000"/>
          <w:sz w:val="24"/>
        </w:rPr>
        <w:t>INDUSTRIES</w:t>
      </w:r>
      <w:r>
        <w:rPr>
          <w:rFonts w:ascii="Times New Roman" w:hAnsi="Times New Roman"/>
          <w:color w:val="000000"/>
          <w:sz w:val="24"/>
        </w:rPr>
        <w:t xml:space="preserve"> </w:t>
      </w:r>
      <w:r>
        <w:rPr>
          <w:rFonts w:ascii="Times New Roman" w:hAnsi="Times New Roman"/>
          <w:b/>
          <w:color w:val="000000"/>
          <w:sz w:val="24"/>
        </w:rPr>
        <w:t>DEUTSCHLAND</w:t>
      </w:r>
      <w:r>
        <w:rPr>
          <w:rFonts w:ascii="Times New Roman" w:hAnsi="Times New Roman"/>
          <w:color w:val="000000"/>
          <w:sz w:val="24"/>
        </w:rPr>
        <w:t xml:space="preserve"> </w:t>
      </w:r>
      <w:r>
        <w:rPr>
          <w:rFonts w:ascii="Times New Roman" w:hAnsi="Times New Roman"/>
          <w:b/>
          <w:color w:val="000000"/>
          <w:sz w:val="24"/>
        </w:rPr>
        <w:t>GMBH</w:t>
      </w:r>
      <w:r>
        <w:rPr>
          <w:rFonts w:ascii="Times New Roman" w:hAnsi="Times New Roman"/>
          <w:color w:val="000000"/>
          <w:sz w:val="24"/>
        </w:rPr>
        <w:t xml:space="preserve"> as German Originator, German Sub-Servicer and Subordinated Lender;</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(5)</w:t>
      </w:r>
    </w:p>
    <w:p>
      <w:pPr>
        <w:pStyle w:val="TextBody"/>
        <w:bidi w:val="0"/>
        <w:spacing w:before="240" w:after="283"/>
        <w:jc w:val="both"/>
        <w:rPr>
          <w:rFonts w:ascii="Times New Roman" w:hAnsi="Times New Roman"/>
          <w:sz w:val="24"/>
        </w:rPr>
      </w:pPr>
      <w:r>
        <w:rPr>
          <w:rFonts w:ascii="Times New Roman" w:hAnsi="Times New Roman"/>
          <w:b/>
          <w:color w:val="000000"/>
          <w:sz w:val="24"/>
        </w:rPr>
        <w:t xml:space="preserve">ASHLAND INDUSTRIES ITALIA S.R.L </w:t>
      </w:r>
      <w:r>
        <w:rPr>
          <w:rFonts w:ascii="Times New Roman" w:hAnsi="Times New Roman"/>
          <w:color w:val="000000"/>
          <w:sz w:val="24"/>
        </w:rPr>
        <w:t>as Italian Originator and Italian Sub-Servicer;</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(6)</w:t>
      </w:r>
    </w:p>
    <w:p>
      <w:pPr>
        <w:pStyle w:val="TextBody"/>
        <w:bidi w:val="0"/>
        <w:spacing w:before="240" w:after="283"/>
        <w:jc w:val="both"/>
        <w:rPr>
          <w:rFonts w:ascii="Times New Roman" w:hAnsi="Times New Roman"/>
          <w:sz w:val="24"/>
        </w:rPr>
      </w:pPr>
      <w:r>
        <w:rPr>
          <w:rFonts w:ascii="Times New Roman" w:hAnsi="Times New Roman"/>
          <w:b/>
          <w:color w:val="000000"/>
          <w:sz w:val="24"/>
        </w:rPr>
        <w:t>ASHLAND</w:t>
      </w:r>
      <w:r>
        <w:rPr>
          <w:rFonts w:ascii="Times New Roman" w:hAnsi="Times New Roman"/>
          <w:color w:val="000000"/>
          <w:sz w:val="24"/>
        </w:rPr>
        <w:t xml:space="preserve"> </w:t>
      </w:r>
      <w:r>
        <w:rPr>
          <w:rFonts w:ascii="Times New Roman" w:hAnsi="Times New Roman"/>
          <w:b/>
          <w:color w:val="000000"/>
          <w:sz w:val="24"/>
        </w:rPr>
        <w:t>SPECIALTY</w:t>
      </w:r>
      <w:r>
        <w:rPr>
          <w:rFonts w:ascii="Times New Roman" w:hAnsi="Times New Roman"/>
          <w:color w:val="000000"/>
          <w:sz w:val="24"/>
        </w:rPr>
        <w:t xml:space="preserve"> </w:t>
      </w:r>
      <w:r>
        <w:rPr>
          <w:rFonts w:ascii="Times New Roman" w:hAnsi="Times New Roman"/>
          <w:b/>
          <w:color w:val="000000"/>
          <w:sz w:val="24"/>
        </w:rPr>
        <w:t>CHEMICAL</w:t>
      </w:r>
      <w:r>
        <w:rPr>
          <w:rFonts w:ascii="Times New Roman" w:hAnsi="Times New Roman"/>
          <w:color w:val="000000"/>
          <w:sz w:val="24"/>
        </w:rPr>
        <w:t xml:space="preserve"> </w:t>
      </w:r>
      <w:r>
        <w:rPr>
          <w:rFonts w:ascii="Times New Roman" w:hAnsi="Times New Roman"/>
          <w:b/>
          <w:color w:val="000000"/>
          <w:sz w:val="24"/>
        </w:rPr>
        <w:t>(SINGAPORE)</w:t>
      </w:r>
      <w:r>
        <w:rPr>
          <w:rFonts w:ascii="Times New Roman" w:hAnsi="Times New Roman"/>
          <w:color w:val="000000"/>
          <w:sz w:val="24"/>
        </w:rPr>
        <w:t xml:space="preserve"> </w:t>
      </w:r>
      <w:r>
        <w:rPr>
          <w:rFonts w:ascii="Times New Roman" w:hAnsi="Times New Roman"/>
          <w:b/>
          <w:color w:val="000000"/>
          <w:sz w:val="24"/>
        </w:rPr>
        <w:t>PTE.</w:t>
      </w:r>
      <w:r>
        <w:rPr>
          <w:rFonts w:ascii="Times New Roman" w:hAnsi="Times New Roman"/>
          <w:color w:val="000000"/>
          <w:sz w:val="24"/>
        </w:rPr>
        <w:t xml:space="preserve"> </w:t>
      </w:r>
      <w:r>
        <w:rPr>
          <w:rFonts w:ascii="Times New Roman" w:hAnsi="Times New Roman"/>
          <w:b/>
          <w:color w:val="000000"/>
          <w:sz w:val="24"/>
        </w:rPr>
        <w:t>LTD</w:t>
      </w:r>
      <w:r>
        <w:rPr>
          <w:rFonts w:ascii="Times New Roman" w:hAnsi="Times New Roman"/>
          <w:color w:val="000000"/>
          <w:sz w:val="24"/>
        </w:rPr>
        <w:t xml:space="preserve"> as Singaporean Originator and Singaporean Sub-Servicer;</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(7)</w:t>
      </w:r>
    </w:p>
    <w:p>
      <w:pPr>
        <w:pStyle w:val="TextBody"/>
        <w:bidi w:val="0"/>
        <w:spacing w:before="240" w:after="283"/>
        <w:jc w:val="both"/>
        <w:rPr>
          <w:rFonts w:ascii="Times New Roman" w:hAnsi="Times New Roman"/>
          <w:sz w:val="24"/>
        </w:rPr>
      </w:pPr>
      <w:r>
        <w:rPr>
          <w:rFonts w:ascii="Times New Roman" w:hAnsi="Times New Roman"/>
          <w:b/>
          <w:color w:val="000000"/>
          <w:sz w:val="24"/>
        </w:rPr>
        <w:t>ASHLAND SPECIALTIES HISPANIA, S.L.</w:t>
      </w:r>
      <w:r>
        <w:rPr>
          <w:rFonts w:ascii="Times New Roman" w:hAnsi="Times New Roman"/>
          <w:color w:val="000000"/>
          <w:sz w:val="24"/>
        </w:rPr>
        <w:t>U. as Spanish Originator and Spanish Sub-Servicer;</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(8)</w:t>
      </w:r>
    </w:p>
    <w:p>
      <w:pPr>
        <w:pStyle w:val="TextBody"/>
        <w:bidi w:val="0"/>
        <w:spacing w:before="240" w:after="283"/>
        <w:jc w:val="both"/>
        <w:rPr>
          <w:rFonts w:ascii="Times New Roman" w:hAnsi="Times New Roman"/>
          <w:sz w:val="24"/>
        </w:rPr>
      </w:pPr>
      <w:r>
        <w:rPr>
          <w:rFonts w:ascii="Times New Roman" w:hAnsi="Times New Roman"/>
          <w:b/>
          <w:color w:val="000000"/>
          <w:sz w:val="24"/>
        </w:rPr>
        <w:t xml:space="preserve">ASHLAND INDUSTRIES EUROPE GMBH </w:t>
      </w:r>
      <w:r>
        <w:rPr>
          <w:rFonts w:ascii="Times New Roman" w:hAnsi="Times New Roman"/>
          <w:color w:val="000000"/>
          <w:sz w:val="24"/>
        </w:rPr>
        <w:t>as Swiss Originator and Swiss Sub-Servicer;</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(9)</w:t>
      </w:r>
    </w:p>
    <w:p>
      <w:pPr>
        <w:pStyle w:val="TextBody"/>
        <w:bidi w:val="0"/>
        <w:spacing w:before="240" w:after="283"/>
        <w:jc w:val="both"/>
        <w:rPr>
          <w:rFonts w:ascii="Times New Roman" w:hAnsi="Times New Roman"/>
          <w:sz w:val="24"/>
        </w:rPr>
      </w:pPr>
      <w:r>
        <w:rPr>
          <w:rFonts w:ascii="Times New Roman" w:hAnsi="Times New Roman"/>
          <w:b/>
          <w:color w:val="000000"/>
          <w:sz w:val="24"/>
        </w:rPr>
        <w:t>ASHLAND</w:t>
      </w:r>
      <w:r>
        <w:rPr>
          <w:rFonts w:ascii="Times New Roman" w:hAnsi="Times New Roman"/>
          <w:color w:val="000000"/>
          <w:sz w:val="24"/>
        </w:rPr>
        <w:t xml:space="preserve"> </w:t>
      </w:r>
      <w:r>
        <w:rPr>
          <w:rFonts w:ascii="Times New Roman" w:hAnsi="Times New Roman"/>
          <w:b/>
          <w:color w:val="000000"/>
          <w:sz w:val="24"/>
        </w:rPr>
        <w:t>SPECIALTIES</w:t>
      </w:r>
      <w:r>
        <w:rPr>
          <w:rFonts w:ascii="Times New Roman" w:hAnsi="Times New Roman"/>
          <w:color w:val="000000"/>
          <w:sz w:val="24"/>
        </w:rPr>
        <w:t xml:space="preserve"> </w:t>
      </w:r>
      <w:r>
        <w:rPr>
          <w:rFonts w:ascii="Times New Roman" w:hAnsi="Times New Roman"/>
          <w:b/>
          <w:color w:val="000000"/>
          <w:sz w:val="24"/>
        </w:rPr>
        <w:t>UK</w:t>
      </w:r>
      <w:r>
        <w:rPr>
          <w:rFonts w:ascii="Times New Roman" w:hAnsi="Times New Roman"/>
          <w:color w:val="000000"/>
          <w:sz w:val="24"/>
        </w:rPr>
        <w:t xml:space="preserve"> </w:t>
      </w:r>
      <w:r>
        <w:rPr>
          <w:rFonts w:ascii="Times New Roman" w:hAnsi="Times New Roman"/>
          <w:b/>
          <w:color w:val="000000"/>
          <w:sz w:val="24"/>
        </w:rPr>
        <w:t>LIMITED</w:t>
      </w:r>
      <w:r>
        <w:rPr>
          <w:rFonts w:ascii="Times New Roman" w:hAnsi="Times New Roman"/>
          <w:color w:val="000000"/>
          <w:sz w:val="24"/>
        </w:rPr>
        <w:t xml:space="preserve"> as UK Originator and UK Sub-Servicer;</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240" w:after="283"/>
        <w:jc w:val="both"/>
        <w:rPr>
          <w:rFonts w:ascii="Times New Roman" w:hAnsi="Times New Roman"/>
          <w:sz w:val="24"/>
        </w:rPr>
      </w:pPr>
      <w:r>
        <w:rPr>
          <w:rFonts w:ascii="Times New Roman" w:hAnsi="Times New Roman"/>
          <w:b/>
          <w:color w:val="000000"/>
          <w:sz w:val="24"/>
        </w:rPr>
        <w:t xml:space="preserve">ASHLAND SPECIALTIES </w:t>
      </w:r>
      <w:r>
        <w:rPr>
          <w:rFonts w:ascii="Times New Roman" w:hAnsi="Times New Roman"/>
          <w:color w:val="000000"/>
          <w:sz w:val="24"/>
        </w:rPr>
        <w:t>IRELAND LIMITED as initial Servicer (in such capacity, together with its successors and assigns in such capacity, the “Servicer”) Irish Originator and Parent;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240" w:after="283"/>
        <w:jc w:val="both"/>
        <w:rPr>
          <w:rFonts w:ascii="Times New Roman" w:hAnsi="Times New Roman"/>
          <w:sz w:val="24"/>
        </w:rPr>
      </w:pPr>
      <w:r>
        <w:rPr>
          <w:rFonts w:ascii="Times New Roman" w:hAnsi="Times New Roman"/>
          <w:b/>
          <w:color w:val="000000"/>
          <w:sz w:val="24"/>
        </w:rPr>
        <w:t>BANK</w:t>
      </w:r>
      <w:r>
        <w:rPr>
          <w:rFonts w:ascii="Times New Roman" w:hAnsi="Times New Roman"/>
          <w:color w:val="000000"/>
          <w:sz w:val="24"/>
        </w:rPr>
        <w:t xml:space="preserve"> </w:t>
      </w:r>
      <w:r>
        <w:rPr>
          <w:rFonts w:ascii="Times New Roman" w:hAnsi="Times New Roman"/>
          <w:b/>
          <w:color w:val="000000"/>
          <w:sz w:val="24"/>
        </w:rPr>
        <w:t>OF</w:t>
      </w:r>
      <w:r>
        <w:rPr>
          <w:rFonts w:ascii="Times New Roman" w:hAnsi="Times New Roman"/>
          <w:color w:val="000000"/>
          <w:sz w:val="24"/>
        </w:rPr>
        <w:t xml:space="preserve"> </w:t>
      </w:r>
      <w:r>
        <w:rPr>
          <w:rFonts w:ascii="Times New Roman" w:hAnsi="Times New Roman"/>
          <w:b/>
          <w:color w:val="000000"/>
          <w:sz w:val="24"/>
        </w:rPr>
        <w:t>AMERICA,</w:t>
      </w:r>
      <w:r>
        <w:rPr>
          <w:rFonts w:ascii="Times New Roman" w:hAnsi="Times New Roman"/>
          <w:color w:val="000000"/>
          <w:sz w:val="24"/>
        </w:rPr>
        <w:t xml:space="preserve"> </w:t>
      </w:r>
      <w:r>
        <w:rPr>
          <w:rFonts w:ascii="Times New Roman" w:hAnsi="Times New Roman"/>
          <w:b/>
          <w:color w:val="000000"/>
          <w:sz w:val="24"/>
        </w:rPr>
        <w:t>N.A</w:t>
      </w:r>
      <w:r>
        <w:rPr>
          <w:rFonts w:ascii="Times New Roman" w:hAnsi="Times New Roman"/>
          <w:color w:val="000000"/>
          <w:sz w:val="24"/>
        </w:rPr>
        <w:t>. as Administrative Agent and Structuring Agent;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240" w:after="283"/>
        <w:jc w:val="both"/>
        <w:rPr>
          <w:rFonts w:ascii="Times New Roman" w:hAnsi="Times New Roman"/>
          <w:sz w:val="24"/>
        </w:rPr>
      </w:pPr>
      <w:r>
        <w:rPr>
          <w:rFonts w:ascii="Times New Roman" w:hAnsi="Times New Roman"/>
          <w:b/>
          <w:color w:val="000000"/>
          <w:sz w:val="24"/>
        </w:rPr>
        <w:t>BANK OF AMERICA EUROPE DAC</w:t>
      </w:r>
      <w:r>
        <w:rPr>
          <w:rFonts w:ascii="Times New Roman" w:hAnsi="Times New Roman"/>
          <w:color w:val="000000"/>
          <w:sz w:val="24"/>
        </w:rPr>
        <w:t>, as Committed Purchaser (and together with Bank of America, N.A. (“</w:t>
      </w:r>
      <w:r>
        <w:rPr>
          <w:rFonts w:ascii="Times New Roman" w:hAnsi="Times New Roman"/>
          <w:color w:val="000000"/>
          <w:sz w:val="24"/>
          <w:u w:val="single"/>
        </w:rPr>
        <w:t>Bank of America</w:t>
      </w:r>
      <w:r>
        <w:rPr>
          <w:rFonts w:ascii="Times New Roman" w:hAnsi="Times New Roman"/>
          <w:color w:val="000000"/>
          <w:sz w:val="24"/>
        </w:rPr>
        <w: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240" w:after="283"/>
        <w:jc w:val="both"/>
        <w:rPr>
          <w:rFonts w:ascii="Times New Roman" w:hAnsi="Times New Roman"/>
          <w:sz w:val="24"/>
        </w:rPr>
      </w:pPr>
      <w:r>
        <w:rPr>
          <w:rFonts w:ascii="Times New Roman" w:hAnsi="Times New Roman"/>
          <w:b/>
          <w:color w:val="000000"/>
          <w:sz w:val="24"/>
        </w:rPr>
        <w:t>ING</w:t>
      </w:r>
      <w:r>
        <w:rPr>
          <w:rFonts w:ascii="Times New Roman" w:hAnsi="Times New Roman"/>
          <w:color w:val="000000"/>
          <w:sz w:val="24"/>
        </w:rPr>
        <w:t xml:space="preserve"> </w:t>
      </w:r>
      <w:r>
        <w:rPr>
          <w:rFonts w:ascii="Times New Roman" w:hAnsi="Times New Roman"/>
          <w:b/>
          <w:color w:val="000000"/>
          <w:sz w:val="24"/>
        </w:rPr>
        <w:t>BELGIUM</w:t>
      </w:r>
      <w:r>
        <w:rPr>
          <w:rFonts w:ascii="Times New Roman" w:hAnsi="Times New Roman"/>
          <w:color w:val="000000"/>
          <w:sz w:val="24"/>
        </w:rPr>
        <w:t xml:space="preserve"> </w:t>
      </w:r>
      <w:r>
        <w:rPr>
          <w:rFonts w:ascii="Times New Roman" w:hAnsi="Times New Roman"/>
          <w:b/>
          <w:color w:val="000000"/>
          <w:sz w:val="24"/>
        </w:rPr>
        <w:t>SA/NV</w:t>
      </w:r>
      <w:r>
        <w:rPr>
          <w:rFonts w:ascii="Times New Roman" w:hAnsi="Times New Roman"/>
          <w:color w:val="000000"/>
          <w:sz w:val="24"/>
        </w:rPr>
        <w:t xml:space="preserve"> as ING Group Agent; and</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240" w:after="283"/>
        <w:jc w:val="both"/>
        <w:rPr>
          <w:rFonts w:ascii="Times New Roman" w:hAnsi="Times New Roman"/>
          <w:sz w:val="24"/>
        </w:rPr>
      </w:pPr>
      <w:r>
        <w:rPr>
          <w:rFonts w:ascii="Times New Roman" w:hAnsi="Times New Roman"/>
          <w:b/>
          <w:color w:val="000000"/>
          <w:sz w:val="24"/>
        </w:rPr>
        <w:t>MONT</w:t>
      </w:r>
      <w:r>
        <w:rPr>
          <w:rFonts w:ascii="Times New Roman" w:hAnsi="Times New Roman"/>
          <w:color w:val="000000"/>
          <w:sz w:val="24"/>
        </w:rPr>
        <w:t xml:space="preserve"> </w:t>
      </w:r>
      <w:r>
        <w:rPr>
          <w:rFonts w:ascii="Times New Roman" w:hAnsi="Times New Roman"/>
          <w:b/>
          <w:color w:val="000000"/>
          <w:sz w:val="24"/>
        </w:rPr>
        <w:t>BLANC</w:t>
      </w:r>
      <w:r>
        <w:rPr>
          <w:rFonts w:ascii="Times New Roman" w:hAnsi="Times New Roman"/>
          <w:color w:val="000000"/>
          <w:sz w:val="24"/>
        </w:rPr>
        <w:t xml:space="preserve"> </w:t>
      </w:r>
      <w:r>
        <w:rPr>
          <w:rFonts w:ascii="Times New Roman" w:hAnsi="Times New Roman"/>
          <w:b/>
          <w:color w:val="000000"/>
          <w:sz w:val="24"/>
        </w:rPr>
        <w:t>CAPITAL</w:t>
      </w:r>
      <w:r>
        <w:rPr>
          <w:rFonts w:ascii="Times New Roman" w:hAnsi="Times New Roman"/>
          <w:color w:val="000000"/>
          <w:sz w:val="24"/>
        </w:rPr>
        <w:t xml:space="preserve"> </w:t>
      </w:r>
      <w:r>
        <w:rPr>
          <w:rFonts w:ascii="Times New Roman" w:hAnsi="Times New Roman"/>
          <w:b/>
          <w:color w:val="000000"/>
          <w:sz w:val="24"/>
        </w:rPr>
        <w:t>CORP</w:t>
      </w:r>
      <w:r>
        <w:rPr>
          <w:rFonts w:ascii="Times New Roman" w:hAnsi="Times New Roman"/>
          <w:color w:val="000000"/>
          <w:sz w:val="24"/>
        </w:rPr>
        <w:t xml:space="preserve"> as Committed Purchaser,</w:t>
      </w:r>
    </w:p>
    <w:p>
      <w:pPr>
        <w:pStyle w:val="Heading1"/>
        <w:bidi w:val="0"/>
        <w:spacing w:before="240" w:after="283"/>
        <w:jc w:val="both"/>
        <w:rPr>
          <w:rFonts w:ascii="Times New Roman" w:hAnsi="Times New Roman"/>
          <w:color w:val="000000"/>
          <w:sz w:val="24"/>
        </w:rPr>
      </w:pPr>
      <w:r>
        <w:rPr>
          <w:rFonts w:ascii="Times New Roman" w:hAnsi="Times New Roman"/>
          <w:color w:val="000000"/>
          <w:sz w:val="24"/>
        </w:rPr>
        <w:t>BACKGROUND: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sz w:val="24"/>
        </w:rPr>
      </w:pPr>
      <w:r>
        <w:rPr>
          <w:rFonts w:ascii="Times New Roman" w:hAnsi="Times New Roman"/>
          <w:color w:val="000000"/>
          <w:sz w:val="24"/>
        </w:rPr>
        <w:t>In the context of a receivables securitisation programme, certain of the Parties hereto entered into a master framework agreement deed dated 19 October 2023 (the “</w:t>
      </w:r>
      <w:r>
        <w:rPr>
          <w:rFonts w:ascii="Times New Roman" w:hAnsi="Times New Roman"/>
          <w:color w:val="000000"/>
          <w:sz w:val="24"/>
          <w:u w:val="single"/>
        </w:rPr>
        <w:t>Master</w:t>
      </w:r>
      <w:r>
        <w:rPr>
          <w:rFonts w:ascii="Times New Roman" w:hAnsi="Times New Roman"/>
          <w:color w:val="000000"/>
          <w:sz w:val="24"/>
        </w:rPr>
        <w:t xml:space="preserve"> </w:t>
      </w:r>
      <w:r>
        <w:rPr>
          <w:rFonts w:ascii="Times New Roman" w:hAnsi="Times New Roman"/>
          <w:color w:val="000000"/>
          <w:sz w:val="24"/>
          <w:u w:val="single"/>
        </w:rPr>
        <w:t>Framework Agreement</w:t>
      </w:r>
      <w:r>
        <w:rPr>
          <w:rFonts w:ascii="Times New Roman" w:hAnsi="Times New Roman"/>
          <w:color w:val="000000"/>
          <w:sz w:val="24"/>
        </w:rPr>
        <w:t>”) and entered into a Receivables Purchase Agreement dated 19 October 2023 (the “</w:t>
      </w:r>
      <w:r>
        <w:rPr>
          <w:rFonts w:ascii="Times New Roman" w:hAnsi="Times New Roman"/>
          <w:color w:val="000000"/>
          <w:sz w:val="24"/>
          <w:u w:val="single"/>
        </w:rPr>
        <w:t>Receivables Purchase Agreement</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Bank of America, N.A. has agreed to assign, transfer and delegate all of its rights, interests and obligations as Committed Purchaser under the Transaction Documents to Bank of America Europe DAC and Bank of America Europe DAC has agreed to accept such appointment and assume all such rights and obligations upon the Effective Date. In order to effect such amendment, along with other technical amendments to the terms and conditions of the Transaction Documents, the Parties hereto have agreed to:</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make certain amendments to the Master Framework Agreement;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make certain amendments to the Receivables Purchase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Deed is intended to take effect as a deed notwithstanding that a Party may execute it only under hand.</w:t>
      </w:r>
    </w:p>
    <w:p>
      <w:pPr>
        <w:pStyle w:val="TextBody"/>
        <w:bidi w:val="0"/>
        <w:spacing w:before="240" w:after="283"/>
        <w:jc w:val="both"/>
        <w:rPr>
          <w:rFonts w:ascii="Times New Roman" w:hAnsi="Times New Roman"/>
          <w:sz w:val="24"/>
        </w:rPr>
      </w:pPr>
      <w:r>
        <w:rPr>
          <w:rFonts w:ascii="Times New Roman" w:hAnsi="Times New Roman"/>
          <w:b/>
          <w:color w:val="000000"/>
          <w:sz w:val="24"/>
        </w:rPr>
        <w:t>THIS</w:t>
      </w:r>
      <w:r>
        <w:rPr>
          <w:rFonts w:ascii="Times New Roman" w:hAnsi="Times New Roman"/>
          <w:color w:val="000000"/>
          <w:sz w:val="24"/>
        </w:rPr>
        <w:t xml:space="preserve"> </w:t>
      </w:r>
      <w:r>
        <w:rPr>
          <w:rFonts w:ascii="Times New Roman" w:hAnsi="Times New Roman"/>
          <w:b/>
          <w:color w:val="000000"/>
          <w:sz w:val="24"/>
        </w:rPr>
        <w:t>DEED</w:t>
      </w:r>
      <w:r>
        <w:rPr>
          <w:rFonts w:ascii="Times New Roman" w:hAnsi="Times New Roman"/>
          <w:color w:val="000000"/>
          <w:sz w:val="24"/>
        </w:rPr>
        <w:t xml:space="preserve"> </w:t>
      </w:r>
      <w:r>
        <w:rPr>
          <w:rFonts w:ascii="Times New Roman" w:hAnsi="Times New Roman"/>
          <w:b/>
          <w:color w:val="000000"/>
          <w:sz w:val="24"/>
        </w:rPr>
        <w:t>WITNESSES</w:t>
      </w:r>
      <w:r>
        <w:rPr>
          <w:rFonts w:ascii="Times New Roman" w:hAnsi="Times New Roman"/>
          <w:color w:val="000000"/>
          <w:sz w:val="24"/>
        </w:rPr>
        <w:t xml:space="preserve"> </w:t>
      </w:r>
      <w:r>
        <w:rPr>
          <w:rFonts w:ascii="Times New Roman" w:hAnsi="Times New Roman"/>
          <w:b/>
          <w:color w:val="000000"/>
          <w:sz w:val="24"/>
        </w:rPr>
        <w:t>that: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sz w:val="24"/>
        </w:rPr>
      </w:pPr>
      <w:r>
        <w:rPr>
          <w:rFonts w:ascii="Times New Roman" w:hAnsi="Times New Roman"/>
          <w:b/>
          <w:color w:val="000000"/>
          <w:sz w:val="24"/>
        </w:rPr>
        <w:t>DEFINITIONS</w:t>
      </w:r>
      <w:r>
        <w:rPr>
          <w:rFonts w:ascii="Times New Roman" w:hAnsi="Times New Roman"/>
          <w:color w:val="000000"/>
          <w:sz w:val="24"/>
        </w:rPr>
        <w:t xml:space="preserve"> </w:t>
      </w:r>
      <w:r>
        <w:rPr>
          <w:rFonts w:ascii="Times New Roman" w:hAnsi="Times New Roman"/>
          <w:b/>
          <w:color w:val="000000"/>
          <w:sz w:val="24"/>
        </w:rPr>
        <w:t>AND</w:t>
      </w:r>
      <w:r>
        <w:rPr>
          <w:rFonts w:ascii="Times New Roman" w:hAnsi="Times New Roman"/>
          <w:color w:val="000000"/>
          <w:sz w:val="24"/>
        </w:rPr>
        <w:t xml:space="preserve"> </w:t>
      </w:r>
      <w:r>
        <w:rPr>
          <w:rFonts w:ascii="Times New Roman" w:hAnsi="Times New Roman"/>
          <w:b/>
          <w:color w:val="000000"/>
          <w:sz w:val="24"/>
        </w:rPr>
        <w:t>INTERPRETATION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Definitions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this Deed:</w:t>
      </w:r>
    </w:p>
    <w:p>
      <w:pPr>
        <w:pStyle w:val="TextBody"/>
        <w:bidi w:val="0"/>
        <w:spacing w:before="240" w:after="283"/>
        <w:jc w:val="both"/>
        <w:rPr>
          <w:rFonts w:ascii="Times New Roman" w:hAnsi="Times New Roman"/>
          <w:sz w:val="24"/>
        </w:rPr>
      </w:pPr>
      <w:r>
        <w:rPr>
          <w:rFonts w:ascii="Times New Roman" w:hAnsi="Times New Roman"/>
          <w:b/>
          <w:color w:val="000000"/>
          <w:sz w:val="24"/>
        </w:rPr>
        <w:t>"</w:t>
      </w:r>
      <w:r>
        <w:rPr>
          <w:rFonts w:ascii="Times New Roman" w:hAnsi="Times New Roman"/>
          <w:color w:val="000000"/>
          <w:sz w:val="24"/>
          <w:u w:val="single"/>
        </w:rPr>
        <w:t>Amended Documents</w:t>
      </w:r>
      <w:r>
        <w:rPr>
          <w:rFonts w:ascii="Times New Roman" w:hAnsi="Times New Roman"/>
          <w:b/>
          <w:color w:val="000000"/>
          <w:sz w:val="24"/>
        </w:rPr>
        <w:t xml:space="preserve">" </w:t>
      </w:r>
      <w:r>
        <w:rPr>
          <w:rFonts w:ascii="Times New Roman" w:hAnsi="Times New Roman"/>
          <w:color w:val="000000"/>
          <w:sz w:val="24"/>
        </w:rPr>
        <w:t>means the Amended and Restated Master Framework Agreement and the Amended and Restated Receivables Purchase Agreement.</w:t>
      </w:r>
    </w:p>
    <w:p>
      <w:pPr>
        <w:pStyle w:val="TextBody"/>
        <w:bidi w:val="0"/>
        <w:spacing w:before="240" w:after="283"/>
        <w:jc w:val="both"/>
        <w:rPr>
          <w:rFonts w:ascii="Times New Roman" w:hAnsi="Times New Roman"/>
          <w:sz w:val="24"/>
        </w:rPr>
      </w:pPr>
      <w:r>
        <w:rPr>
          <w:rFonts w:ascii="Times New Roman" w:hAnsi="Times New Roman"/>
          <w:b/>
          <w:color w:val="000000"/>
          <w:sz w:val="24"/>
        </w:rPr>
        <w:t>"</w:t>
      </w:r>
      <w:r>
        <w:rPr>
          <w:rFonts w:ascii="Times New Roman" w:hAnsi="Times New Roman"/>
          <w:color w:val="000000"/>
          <w:sz w:val="24"/>
          <w:u w:val="single"/>
        </w:rPr>
        <w:t>Effective Date</w:t>
      </w:r>
      <w:r>
        <w:rPr>
          <w:rFonts w:ascii="Times New Roman" w:hAnsi="Times New Roman"/>
          <w:b/>
          <w:color w:val="000000"/>
          <w:sz w:val="24"/>
        </w:rPr>
        <w:t>"</w:t>
      </w:r>
      <w:r>
        <w:rPr>
          <w:rFonts w:ascii="Times New Roman" w:hAnsi="Times New Roman"/>
          <w:color w:val="000000"/>
          <w:sz w:val="24"/>
        </w:rPr>
        <w:t xml:space="preserve"> means the date of this Deed.</w:t>
      </w:r>
    </w:p>
    <w:p>
      <w:pPr>
        <w:pStyle w:val="TextBody"/>
        <w:bidi w:val="0"/>
        <w:spacing w:before="240" w:after="283"/>
        <w:jc w:val="both"/>
        <w:rPr>
          <w:rFonts w:ascii="Times New Roman" w:hAnsi="Times New Roman"/>
          <w:sz w:val="24"/>
        </w:rPr>
      </w:pPr>
      <w:r>
        <w:rPr>
          <w:rFonts w:ascii="Times New Roman" w:hAnsi="Times New Roman"/>
          <w:b/>
          <w:color w:val="000000"/>
          <w:sz w:val="24"/>
        </w:rPr>
        <w:t>"</w:t>
      </w:r>
      <w:r>
        <w:rPr>
          <w:rFonts w:ascii="Times New Roman" w:hAnsi="Times New Roman"/>
          <w:color w:val="000000"/>
          <w:sz w:val="24"/>
          <w:u w:val="single"/>
        </w:rPr>
        <w:t>Parties</w:t>
      </w:r>
      <w:r>
        <w:rPr>
          <w:rFonts w:ascii="Times New Roman" w:hAnsi="Times New Roman"/>
          <w:b/>
          <w:color w:val="000000"/>
          <w:sz w:val="24"/>
        </w:rPr>
        <w:t>"</w:t>
      </w:r>
      <w:r>
        <w:rPr>
          <w:rFonts w:ascii="Times New Roman" w:hAnsi="Times New Roman"/>
          <w:color w:val="000000"/>
          <w:sz w:val="24"/>
        </w:rPr>
        <w:t xml:space="preserve"> means the parties to this Deed.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rFonts w:ascii="Times New Roman" w:hAnsi="Times New Roman"/>
          <w:sz w:val="24"/>
        </w:rPr>
      </w:pPr>
      <w:r>
        <w:rPr>
          <w:rFonts w:ascii="Times New Roman" w:hAnsi="Times New Roman"/>
          <w:b/>
          <w:color w:val="000000"/>
          <w:sz w:val="24"/>
        </w:rPr>
        <w:t>Terms</w:t>
      </w:r>
      <w:r>
        <w:rPr>
          <w:rFonts w:ascii="Times New Roman" w:hAnsi="Times New Roman"/>
          <w:color w:val="000000"/>
          <w:sz w:val="24"/>
        </w:rPr>
        <w:t xml:space="preserve"> </w:t>
      </w:r>
      <w:r>
        <w:rPr>
          <w:rFonts w:ascii="Times New Roman" w:hAnsi="Times New Roman"/>
          <w:b/>
          <w:color w:val="000000"/>
          <w:sz w:val="24"/>
        </w:rPr>
        <w:t>defined</w:t>
      </w:r>
      <w:r>
        <w:rPr>
          <w:rFonts w:ascii="Times New Roman" w:hAnsi="Times New Roman"/>
          <w:color w:val="000000"/>
          <w:sz w:val="24"/>
        </w:rPr>
        <w:t xml:space="preserve"> </w:t>
      </w:r>
      <w:r>
        <w:rPr>
          <w:rFonts w:ascii="Times New Roman" w:hAnsi="Times New Roman"/>
          <w:b/>
          <w:color w:val="000000"/>
          <w:sz w:val="24"/>
        </w:rPr>
        <w:t>in</w:t>
      </w:r>
      <w:r>
        <w:rPr>
          <w:rFonts w:ascii="Times New Roman" w:hAnsi="Times New Roman"/>
          <w:color w:val="000000"/>
          <w:sz w:val="24"/>
        </w:rPr>
        <w:t xml:space="preserve"> </w:t>
      </w:r>
      <w:r>
        <w:rPr>
          <w:rFonts w:ascii="Times New Roman" w:hAnsi="Times New Roman"/>
          <w:b/>
          <w:color w:val="000000"/>
          <w:sz w:val="24"/>
        </w:rPr>
        <w:t>the</w:t>
      </w:r>
      <w:r>
        <w:rPr>
          <w:rFonts w:ascii="Times New Roman" w:hAnsi="Times New Roman"/>
          <w:color w:val="000000"/>
          <w:sz w:val="24"/>
        </w:rPr>
        <w:t xml:space="preserve"> </w:t>
      </w:r>
      <w:r>
        <w:rPr>
          <w:rFonts w:ascii="Times New Roman" w:hAnsi="Times New Roman"/>
          <w:b/>
          <w:color w:val="000000"/>
          <w:sz w:val="24"/>
        </w:rPr>
        <w:t>Amended</w:t>
      </w:r>
      <w:r>
        <w:rPr>
          <w:rFonts w:ascii="Times New Roman" w:hAnsi="Times New Roman"/>
          <w:color w:val="000000"/>
          <w:sz w:val="24"/>
        </w:rPr>
        <w:t xml:space="preserve"> </w:t>
      </w:r>
      <w:r>
        <w:rPr>
          <w:rFonts w:ascii="Times New Roman" w:hAnsi="Times New Roman"/>
          <w:b/>
          <w:color w:val="000000"/>
          <w:sz w:val="24"/>
        </w:rPr>
        <w:t>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Terms defined in the Amended Documents but not in this Deed shall have the same meaning in this Deed as in the Amended Documents.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Construction</w:t>
      </w:r>
    </w:p>
    <w:p>
      <w:pPr>
        <w:pStyle w:val="TextBody"/>
        <w:bidi w:val="0"/>
        <w:spacing w:before="240" w:after="283"/>
        <w:jc w:val="both"/>
        <w:rPr>
          <w:rFonts w:ascii="Times New Roman" w:hAnsi="Times New Roman"/>
          <w:sz w:val="24"/>
        </w:rPr>
      </w:pPr>
      <w:r>
        <w:rPr>
          <w:rFonts w:ascii="Times New Roman" w:hAnsi="Times New Roman"/>
          <w:color w:val="000000"/>
          <w:sz w:val="24"/>
        </w:rPr>
        <w:t>(a) Schedule 1 (</w:t>
      </w:r>
      <w:r>
        <w:rPr>
          <w:rFonts w:ascii="Times New Roman" w:hAnsi="Times New Roman"/>
          <w:i/>
          <w:color w:val="000000"/>
          <w:sz w:val="24"/>
        </w:rPr>
        <w:t>Construction</w:t>
      </w:r>
      <w:r>
        <w:rPr>
          <w:rFonts w:ascii="Times New Roman" w:hAnsi="Times New Roman"/>
          <w:color w:val="000000"/>
          <w:sz w:val="24"/>
        </w:rPr>
        <w:t>) of the Master Framework Agreement shall apply as if set out in full again here, with such changes as are appropriate to fit this context.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If there is a conflict between the definitions in the Master Framework Agreement and this Deed, the definitions in this Deed shall prevail.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This Deed is the Deed of Amendment and Restatement as referred to in the Master Framework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rFonts w:ascii="Times New Roman" w:hAnsi="Times New Roman"/>
          <w:sz w:val="24"/>
        </w:rPr>
      </w:pPr>
      <w:r>
        <w:rPr>
          <w:rFonts w:ascii="Times New Roman" w:hAnsi="Times New Roman"/>
          <w:b/>
          <w:color w:val="000000"/>
          <w:sz w:val="24"/>
        </w:rPr>
        <w:t>CONDITIONS</w:t>
      </w:r>
      <w:r>
        <w:rPr>
          <w:rFonts w:ascii="Times New Roman" w:hAnsi="Times New Roman"/>
          <w:color w:val="000000"/>
          <w:sz w:val="24"/>
        </w:rPr>
        <w:t xml:space="preserve"> </w:t>
      </w:r>
      <w:r>
        <w:rPr>
          <w:rFonts w:ascii="Times New Roman" w:hAnsi="Times New Roman"/>
          <w:b/>
          <w:color w:val="000000"/>
          <w:sz w:val="24"/>
        </w:rPr>
        <w:t>PRECEDENT</w:t>
      </w:r>
    </w:p>
    <w:p>
      <w:pPr>
        <w:pStyle w:val="TextBody"/>
        <w:bidi w:val="0"/>
        <w:spacing w:before="240" w:after="283"/>
        <w:jc w:val="both"/>
        <w:rPr>
          <w:rFonts w:ascii="Times New Roman" w:hAnsi="Times New Roman"/>
          <w:sz w:val="24"/>
        </w:rPr>
      </w:pPr>
      <w:r>
        <w:rPr>
          <w:rFonts w:ascii="Times New Roman" w:hAnsi="Times New Roman"/>
          <w:color w:val="000000"/>
          <w:sz w:val="24"/>
        </w:rPr>
        <w:t>The provisions of this Deed expressed to take effect from the Effective Date shall not come into effect until the Administrative Agent confirms that it has received all of the documents and other items listed in Schedule 3 (</w:t>
      </w:r>
      <w:r>
        <w:rPr>
          <w:rFonts w:ascii="Times New Roman" w:hAnsi="Times New Roman"/>
          <w:i/>
          <w:color w:val="000000"/>
          <w:sz w:val="24"/>
        </w:rPr>
        <w:t>Conditions</w:t>
      </w:r>
      <w:r>
        <w:rPr>
          <w:rFonts w:ascii="Times New Roman" w:hAnsi="Times New Roman"/>
          <w:color w:val="000000"/>
          <w:sz w:val="24"/>
        </w:rPr>
        <w:t xml:space="preserve"> </w:t>
      </w:r>
      <w:r>
        <w:rPr>
          <w:rFonts w:ascii="Times New Roman" w:hAnsi="Times New Roman"/>
          <w:i/>
          <w:color w:val="000000"/>
          <w:sz w:val="24"/>
        </w:rPr>
        <w:t>precedent</w:t>
      </w:r>
      <w:r>
        <w:rPr>
          <w:rFonts w:ascii="Times New Roman" w:hAnsi="Times New Roman"/>
          <w:color w:val="000000"/>
          <w:sz w:val="24"/>
        </w:rPr>
        <w:t>) in form and substance satisfactory to it. The Agent shall notify the other Parties promptly upon being so satisfied.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rFonts w:ascii="Times New Roman" w:hAnsi="Times New Roman"/>
          <w:sz w:val="24"/>
        </w:rPr>
      </w:pPr>
      <w:r>
        <w:rPr>
          <w:rFonts w:ascii="Times New Roman" w:hAnsi="Times New Roman"/>
          <w:b/>
          <w:color w:val="000000"/>
          <w:sz w:val="24"/>
        </w:rPr>
        <w:t>AMENDMENT</w:t>
      </w:r>
      <w:r>
        <w:rPr>
          <w:rFonts w:ascii="Times New Roman" w:hAnsi="Times New Roman"/>
          <w:color w:val="000000"/>
          <w:sz w:val="24"/>
        </w:rPr>
        <w:t xml:space="preserve"> </w:t>
      </w:r>
      <w:r>
        <w:rPr>
          <w:rFonts w:ascii="Times New Roman" w:hAnsi="Times New Roman"/>
          <w:b/>
          <w:color w:val="000000"/>
          <w:sz w:val="24"/>
        </w:rPr>
        <w:t>AND</w:t>
      </w:r>
      <w:r>
        <w:rPr>
          <w:rFonts w:ascii="Times New Roman" w:hAnsi="Times New Roman"/>
          <w:color w:val="000000"/>
          <w:sz w:val="24"/>
        </w:rPr>
        <w:t xml:space="preserve"> </w:t>
      </w:r>
      <w:r>
        <w:rPr>
          <w:rFonts w:ascii="Times New Roman" w:hAnsi="Times New Roman"/>
          <w:b/>
          <w:color w:val="000000"/>
          <w:sz w:val="24"/>
        </w:rPr>
        <w:t>RESTATEMENT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3.1.</w:t>
      </w:r>
    </w:p>
    <w:p>
      <w:pPr>
        <w:pStyle w:val="TextBody"/>
        <w:bidi w:val="0"/>
        <w:spacing w:before="240" w:after="283"/>
        <w:jc w:val="both"/>
        <w:rPr>
          <w:rFonts w:ascii="Times New Roman" w:hAnsi="Times New Roman"/>
          <w:sz w:val="24"/>
        </w:rPr>
      </w:pPr>
      <w:r>
        <w:rPr>
          <w:rFonts w:ascii="Times New Roman" w:hAnsi="Times New Roman"/>
          <w:b/>
          <w:color w:val="000000"/>
          <w:sz w:val="24"/>
        </w:rPr>
        <w:t>Parties</w:t>
      </w:r>
      <w:r>
        <w:rPr>
          <w:rFonts w:ascii="Times New Roman" w:hAnsi="Times New Roman"/>
          <w:color w:val="000000"/>
          <w:sz w:val="24"/>
        </w:rPr>
        <w:t xml:space="preserve"> </w:t>
      </w:r>
      <w:r>
        <w:rPr>
          <w:rFonts w:ascii="Times New Roman" w:hAnsi="Times New Roman"/>
          <w:b/>
          <w:color w:val="000000"/>
          <w:sz w:val="24"/>
        </w:rPr>
        <w:t>to</w:t>
      </w:r>
      <w:r>
        <w:rPr>
          <w:rFonts w:ascii="Times New Roman" w:hAnsi="Times New Roman"/>
          <w:color w:val="000000"/>
          <w:sz w:val="24"/>
        </w:rPr>
        <w:t xml:space="preserve"> </w:t>
      </w:r>
      <w:r>
        <w:rPr>
          <w:rFonts w:ascii="Times New Roman" w:hAnsi="Times New Roman"/>
          <w:b/>
          <w:color w:val="000000"/>
          <w:sz w:val="24"/>
        </w:rPr>
        <w:t>the</w:t>
      </w:r>
      <w:r>
        <w:rPr>
          <w:rFonts w:ascii="Times New Roman" w:hAnsi="Times New Roman"/>
          <w:color w:val="000000"/>
          <w:sz w:val="24"/>
        </w:rPr>
        <w:t xml:space="preserve"> </w:t>
      </w:r>
      <w:r>
        <w:rPr>
          <w:rFonts w:ascii="Times New Roman" w:hAnsi="Times New Roman"/>
          <w:b/>
          <w:color w:val="000000"/>
          <w:sz w:val="24"/>
        </w:rPr>
        <w:t>Master</w:t>
      </w:r>
      <w:r>
        <w:rPr>
          <w:rFonts w:ascii="Times New Roman" w:hAnsi="Times New Roman"/>
          <w:color w:val="000000"/>
          <w:sz w:val="24"/>
        </w:rPr>
        <w:t xml:space="preserve"> </w:t>
      </w:r>
      <w:r>
        <w:rPr>
          <w:rFonts w:ascii="Times New Roman" w:hAnsi="Times New Roman"/>
          <w:b/>
          <w:color w:val="000000"/>
          <w:sz w:val="24"/>
        </w:rPr>
        <w:t>Framework</w:t>
      </w:r>
      <w:r>
        <w:rPr>
          <w:rFonts w:ascii="Times New Roman" w:hAnsi="Times New Roman"/>
          <w:color w:val="000000"/>
          <w:sz w:val="24"/>
        </w:rPr>
        <w:t xml:space="preserve"> </w:t>
      </w:r>
      <w:r>
        <w:rPr>
          <w:rFonts w:ascii="Times New Roman" w:hAnsi="Times New Roman"/>
          <w:b/>
          <w:color w:val="000000"/>
          <w:sz w:val="24"/>
        </w:rPr>
        <w:t>Agreement</w:t>
      </w:r>
    </w:p>
    <w:p>
      <w:pPr>
        <w:pStyle w:val="TextBody"/>
        <w:bidi w:val="0"/>
        <w:spacing w:before="240" w:after="283"/>
        <w:jc w:val="both"/>
        <w:rPr>
          <w:rFonts w:ascii="Times New Roman" w:hAnsi="Times New Roman"/>
          <w:sz w:val="24"/>
        </w:rPr>
      </w:pPr>
      <w:r>
        <w:rPr>
          <w:rFonts w:ascii="Times New Roman" w:hAnsi="Times New Roman"/>
          <w:color w:val="000000"/>
          <w:sz w:val="24"/>
        </w:rPr>
        <w:t>Each of the Parties to the Master Framework Agreement hereby agree that the Master Framework Agreement shall be amended and restated in the form attached as Schedule 1 (</w:t>
      </w:r>
      <w:r>
        <w:rPr>
          <w:rFonts w:ascii="Times New Roman" w:hAnsi="Times New Roman"/>
          <w:i/>
          <w:color w:val="000000"/>
          <w:sz w:val="24"/>
        </w:rPr>
        <w:t>Amended and Restated Master Framework Agreement</w:t>
      </w:r>
      <w:r>
        <w:rPr>
          <w:rFonts w:ascii="Times New Roman" w:hAnsi="Times New Roman"/>
          <w:color w:val="000000"/>
          <w:sz w:val="24"/>
        </w:rPr>
        <w:t>) which shall be binding on such Parties with effect from the Effective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3.2.</w:t>
      </w:r>
    </w:p>
    <w:p>
      <w:pPr>
        <w:pStyle w:val="TextBody"/>
        <w:bidi w:val="0"/>
        <w:spacing w:before="240" w:after="283"/>
        <w:jc w:val="both"/>
        <w:rPr>
          <w:rFonts w:ascii="Times New Roman" w:hAnsi="Times New Roman"/>
          <w:sz w:val="24"/>
        </w:rPr>
      </w:pPr>
      <w:r>
        <w:rPr>
          <w:rFonts w:ascii="Times New Roman" w:hAnsi="Times New Roman"/>
          <w:b/>
          <w:color w:val="000000"/>
          <w:sz w:val="24"/>
        </w:rPr>
        <w:t>Parties</w:t>
      </w:r>
      <w:r>
        <w:rPr>
          <w:rFonts w:ascii="Times New Roman" w:hAnsi="Times New Roman"/>
          <w:color w:val="000000"/>
          <w:sz w:val="24"/>
        </w:rPr>
        <w:t xml:space="preserve"> </w:t>
      </w:r>
      <w:r>
        <w:rPr>
          <w:rFonts w:ascii="Times New Roman" w:hAnsi="Times New Roman"/>
          <w:b/>
          <w:color w:val="000000"/>
          <w:sz w:val="24"/>
        </w:rPr>
        <w:t>to</w:t>
      </w:r>
      <w:r>
        <w:rPr>
          <w:rFonts w:ascii="Times New Roman" w:hAnsi="Times New Roman"/>
          <w:color w:val="000000"/>
          <w:sz w:val="24"/>
        </w:rPr>
        <w:t xml:space="preserve"> </w:t>
      </w:r>
      <w:r>
        <w:rPr>
          <w:rFonts w:ascii="Times New Roman" w:hAnsi="Times New Roman"/>
          <w:b/>
          <w:color w:val="000000"/>
          <w:sz w:val="24"/>
        </w:rPr>
        <w:t>the</w:t>
      </w:r>
      <w:r>
        <w:rPr>
          <w:rFonts w:ascii="Times New Roman" w:hAnsi="Times New Roman"/>
          <w:color w:val="000000"/>
          <w:sz w:val="24"/>
        </w:rPr>
        <w:t xml:space="preserve"> </w:t>
      </w:r>
      <w:r>
        <w:rPr>
          <w:rFonts w:ascii="Times New Roman" w:hAnsi="Times New Roman"/>
          <w:b/>
          <w:color w:val="000000"/>
          <w:sz w:val="24"/>
        </w:rPr>
        <w:t>Receivables</w:t>
      </w:r>
      <w:r>
        <w:rPr>
          <w:rFonts w:ascii="Times New Roman" w:hAnsi="Times New Roman"/>
          <w:color w:val="000000"/>
          <w:sz w:val="24"/>
        </w:rPr>
        <w:t xml:space="preserve"> </w:t>
      </w:r>
      <w:r>
        <w:rPr>
          <w:rFonts w:ascii="Times New Roman" w:hAnsi="Times New Roman"/>
          <w:b/>
          <w:color w:val="000000"/>
          <w:sz w:val="24"/>
        </w:rPr>
        <w:t>Purchase</w:t>
      </w:r>
      <w:r>
        <w:rPr>
          <w:rFonts w:ascii="Times New Roman" w:hAnsi="Times New Roman"/>
          <w:color w:val="000000"/>
          <w:sz w:val="24"/>
        </w:rPr>
        <w:t xml:space="preserve"> </w:t>
      </w:r>
      <w:r>
        <w:rPr>
          <w:rFonts w:ascii="Times New Roman" w:hAnsi="Times New Roman"/>
          <w:b/>
          <w:color w:val="000000"/>
          <w:sz w:val="24"/>
        </w:rPr>
        <w:t>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of the Parties to the Receivables Purchase Agreement hereby agree that the Receivables Purchase Agreement shall be amended and restated in the form attached as Schedule 2 (Amended and Restated Receivables Purchase Agreement) which shall be binding on such Parties with effect from the Effective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3.3.</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Consents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of the Parties hereby consent (to the extent, if any, that such consent is or may be required pursuant to any of the Transaction Documents) to the terms of this Deed and to the execution, delivery and performance of this Deed and the Transaction Documents by the other Parties thereto.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CONFIRMATIONS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w:t>
      </w:r>
    </w:p>
    <w:p>
      <w:pPr>
        <w:pStyle w:val="TextBody"/>
        <w:bidi w:val="0"/>
        <w:spacing w:before="240" w:after="283"/>
        <w:jc w:val="both"/>
        <w:rPr>
          <w:rFonts w:ascii="Times New Roman" w:hAnsi="Times New Roman"/>
          <w:sz w:val="24"/>
        </w:rPr>
      </w:pPr>
      <w:r>
        <w:rPr>
          <w:rFonts w:ascii="Times New Roman" w:hAnsi="Times New Roman"/>
          <w:b/>
          <w:color w:val="000000"/>
          <w:sz w:val="24"/>
        </w:rPr>
        <w:t>Confirmation</w:t>
      </w:r>
      <w:r>
        <w:rPr>
          <w:rFonts w:ascii="Times New Roman" w:hAnsi="Times New Roman"/>
          <w:color w:val="000000"/>
          <w:sz w:val="24"/>
        </w:rPr>
        <w:t xml:space="preserve"> </w:t>
      </w:r>
      <w:r>
        <w:rPr>
          <w:rFonts w:ascii="Times New Roman" w:hAnsi="Times New Roman"/>
          <w:b/>
          <w:color w:val="000000"/>
          <w:sz w:val="24"/>
        </w:rPr>
        <w:t>of</w:t>
      </w:r>
      <w:r>
        <w:rPr>
          <w:rFonts w:ascii="Times New Roman" w:hAnsi="Times New Roman"/>
          <w:color w:val="000000"/>
          <w:sz w:val="24"/>
        </w:rPr>
        <w:t xml:space="preserve"> </w:t>
      </w:r>
      <w:r>
        <w:rPr>
          <w:rFonts w:ascii="Times New Roman" w:hAnsi="Times New Roman"/>
          <w:b/>
          <w:color w:val="000000"/>
          <w:sz w:val="24"/>
        </w:rPr>
        <w:t>no</w:t>
      </w:r>
      <w:r>
        <w:rPr>
          <w:rFonts w:ascii="Times New Roman" w:hAnsi="Times New Roman"/>
          <w:color w:val="000000"/>
          <w:sz w:val="24"/>
        </w:rPr>
        <w:t xml:space="preserve"> </w:t>
      </w:r>
      <w:r>
        <w:rPr>
          <w:rFonts w:ascii="Times New Roman" w:hAnsi="Times New Roman"/>
          <w:b/>
          <w:color w:val="000000"/>
          <w:sz w:val="24"/>
        </w:rPr>
        <w:t>Event</w:t>
      </w:r>
      <w:r>
        <w:rPr>
          <w:rFonts w:ascii="Times New Roman" w:hAnsi="Times New Roman"/>
          <w:color w:val="000000"/>
          <w:sz w:val="24"/>
        </w:rPr>
        <w:t xml:space="preserve"> </w:t>
      </w:r>
      <w:r>
        <w:rPr>
          <w:rFonts w:ascii="Times New Roman" w:hAnsi="Times New Roman"/>
          <w:b/>
          <w:color w:val="000000"/>
          <w:sz w:val="24"/>
        </w:rPr>
        <w:t>of</w:t>
      </w:r>
      <w:r>
        <w:rPr>
          <w:rFonts w:ascii="Times New Roman" w:hAnsi="Times New Roman"/>
          <w:color w:val="000000"/>
          <w:sz w:val="24"/>
        </w:rPr>
        <w:t xml:space="preserve"> </w:t>
      </w:r>
      <w:r>
        <w:rPr>
          <w:rFonts w:ascii="Times New Roman" w:hAnsi="Times New Roman"/>
          <w:b/>
          <w:color w:val="000000"/>
          <w:sz w:val="24"/>
        </w:rPr>
        <w:t>Termination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of the Parties to the Receivables Purchase Agreement confirm on the Effetive Date, in each case by reference to the facts and circumstances subsisting on such dates, that no Event of Termination (as defined in the Receivables Purchase Agreement) has occurred and is continuing on such date or would occur after giving effect to the transactions contemplated to occur on such date except for the Specified Default and the Anticipated Default set out in the Limited Waiver and as the same were waived by the Administrative Agent and the ING Group Agent pursuant to the Limited Waiver.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4.2.</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Guarantee confirmations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Seller: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confirms for the benefit of the Purchasers, the Administrative Agent and the other Secured Parties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sz w:val="24"/>
        </w:rPr>
      </w:pPr>
      <w:r>
        <w:rPr>
          <w:rFonts w:ascii="Times New Roman" w:hAnsi="Times New Roman"/>
          <w:color w:val="000000"/>
          <w:sz w:val="24"/>
        </w:rPr>
        <w:t>the Guaranteed Obligations under Section 10.01 (</w:t>
      </w:r>
      <w:r>
        <w:rPr>
          <w:rFonts w:ascii="Times New Roman" w:hAnsi="Times New Roman"/>
          <w:i/>
          <w:color w:val="000000"/>
          <w:sz w:val="24"/>
        </w:rPr>
        <w:t>Guarantee of Payment</w:t>
      </w:r>
      <w:r>
        <w:rPr>
          <w:rFonts w:ascii="Times New Roman" w:hAnsi="Times New Roman"/>
          <w:color w:val="000000"/>
          <w:sz w:val="24"/>
        </w:rPr>
        <w:t>) of the Receivables Purchase Agreement are not discharged or otherwise affected by those amendments or the other provisions of this Deed and shall accordingly continue in full force and effect;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Guaranteed Obligations shall after the Effective Date extend to the obligations of the Seller under the Amended Documents; and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4.3.</w:t>
      </w:r>
    </w:p>
    <w:p>
      <w:pPr>
        <w:pStyle w:val="TextBody"/>
        <w:bidi w:val="0"/>
        <w:spacing w:before="240" w:after="283"/>
        <w:jc w:val="both"/>
        <w:rPr>
          <w:rFonts w:ascii="Times New Roman" w:hAnsi="Times New Roman"/>
          <w:sz w:val="24"/>
        </w:rPr>
      </w:pPr>
      <w:r>
        <w:rPr>
          <w:rFonts w:ascii="Times New Roman" w:hAnsi="Times New Roman"/>
          <w:b/>
          <w:color w:val="000000"/>
          <w:sz w:val="24"/>
        </w:rPr>
        <w:t>Performance</w:t>
      </w:r>
      <w:r>
        <w:rPr>
          <w:rFonts w:ascii="Times New Roman" w:hAnsi="Times New Roman"/>
          <w:color w:val="000000"/>
          <w:sz w:val="24"/>
        </w:rPr>
        <w:t xml:space="preserve"> </w:t>
      </w:r>
      <w:r>
        <w:rPr>
          <w:rFonts w:ascii="Times New Roman" w:hAnsi="Times New Roman"/>
          <w:b/>
          <w:color w:val="000000"/>
          <w:sz w:val="24"/>
        </w:rPr>
        <w:t>Guaranty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Parties agree that the provisions of the Performance Guaranty shall remain in full force and effect and the Performance Guarantor hereby ratifies and affirms the Performance Guarantee and acknowledges that the Performance Guarantee has continued and shall continue in full force and effect in accordance with its terms.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4.4.</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Further assurance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provisions of the Master Framework Agreement and the Receivables Purchase Agreement, as amended and restated by this Deed, shall continue in full force and effect and each of the Parties agrees to perform (or procure the performance of) all further acts and things, and execute and deliver (or procure the execution and delivery of) such further documents, as may be required by law or as may be necessary or desirable to give effect to the amendments effected pursuant to this Deed.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REPRESENTATIONS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5.1.</w:t>
      </w:r>
    </w:p>
    <w:p>
      <w:pPr>
        <w:pStyle w:val="TextBody"/>
        <w:bidi w:val="0"/>
        <w:spacing w:before="240" w:after="283"/>
        <w:jc w:val="both"/>
        <w:rPr>
          <w:rFonts w:ascii="Times New Roman" w:hAnsi="Times New Roman"/>
          <w:sz w:val="24"/>
        </w:rPr>
      </w:pPr>
      <w:r>
        <w:rPr>
          <w:rFonts w:ascii="Times New Roman" w:hAnsi="Times New Roman"/>
          <w:b/>
          <w:color w:val="000000"/>
          <w:sz w:val="24"/>
        </w:rPr>
        <w:t>Seller</w:t>
      </w:r>
      <w:r>
        <w:rPr>
          <w:rFonts w:ascii="Times New Roman" w:hAnsi="Times New Roman"/>
          <w:color w:val="000000"/>
          <w:sz w:val="24"/>
        </w:rPr>
        <w:t xml:space="preserve"> </w:t>
      </w:r>
      <w:r>
        <w:rPr>
          <w:rFonts w:ascii="Times New Roman" w:hAnsi="Times New Roman"/>
          <w:b/>
          <w:color w:val="000000"/>
          <w:sz w:val="24"/>
        </w:rPr>
        <w:t>Representations</w:t>
      </w:r>
      <w:r>
        <w:rPr>
          <w:rFonts w:ascii="Times New Roman" w:hAnsi="Times New Roman"/>
          <w:color w:val="000000"/>
          <w:sz w:val="24"/>
        </w:rPr>
        <w:t xml:space="preserve"> </w:t>
      </w:r>
      <w:r>
        <w:rPr>
          <w:rFonts w:ascii="Times New Roman" w:hAnsi="Times New Roman"/>
          <w:b/>
          <w:color w:val="000000"/>
          <w:sz w:val="24"/>
        </w:rPr>
        <w:t>and</w:t>
      </w:r>
      <w:r>
        <w:rPr>
          <w:rFonts w:ascii="Times New Roman" w:hAnsi="Times New Roman"/>
          <w:color w:val="000000"/>
          <w:sz w:val="24"/>
        </w:rPr>
        <w:t xml:space="preserve"> </w:t>
      </w:r>
      <w:r>
        <w:rPr>
          <w:rFonts w:ascii="Times New Roman" w:hAnsi="Times New Roman"/>
          <w:b/>
          <w:color w:val="000000"/>
          <w:sz w:val="24"/>
        </w:rPr>
        <w:t>Warranties</w:t>
      </w:r>
    </w:p>
    <w:p>
      <w:pPr>
        <w:pStyle w:val="TextBody"/>
        <w:bidi w:val="0"/>
        <w:spacing w:before="240" w:after="283"/>
        <w:jc w:val="both"/>
        <w:rPr>
          <w:rFonts w:ascii="Times New Roman" w:hAnsi="Times New Roman"/>
          <w:sz w:val="24"/>
        </w:rPr>
      </w:pPr>
      <w:r>
        <w:rPr>
          <w:rFonts w:ascii="Times New Roman" w:hAnsi="Times New Roman"/>
          <w:color w:val="000000"/>
          <w:sz w:val="24"/>
        </w:rPr>
        <w:t>Each of the Sellers make the Seller Representations and Warranties as set out in Schedule 3, Part 1 (</w:t>
      </w:r>
      <w:r>
        <w:rPr>
          <w:rFonts w:ascii="Times New Roman" w:hAnsi="Times New Roman"/>
          <w:i/>
          <w:color w:val="000000"/>
          <w:sz w:val="24"/>
        </w:rPr>
        <w:t>Seller</w:t>
      </w:r>
      <w:r>
        <w:rPr>
          <w:rFonts w:ascii="Times New Roman" w:hAnsi="Times New Roman"/>
          <w:color w:val="000000"/>
          <w:sz w:val="24"/>
        </w:rPr>
        <w:t xml:space="preserve"> </w:t>
      </w:r>
      <w:r>
        <w:rPr>
          <w:rFonts w:ascii="Times New Roman" w:hAnsi="Times New Roman"/>
          <w:i/>
          <w:color w:val="000000"/>
          <w:sz w:val="24"/>
        </w:rPr>
        <w:t>Representations</w:t>
      </w:r>
      <w:r>
        <w:rPr>
          <w:rFonts w:ascii="Times New Roman" w:hAnsi="Times New Roman"/>
          <w:color w:val="000000"/>
          <w:sz w:val="24"/>
        </w:rPr>
        <w:t xml:space="preserve"> </w:t>
      </w:r>
      <w:r>
        <w:rPr>
          <w:rFonts w:ascii="Times New Roman" w:hAnsi="Times New Roman"/>
          <w:i/>
          <w:color w:val="000000"/>
          <w:sz w:val="24"/>
        </w:rPr>
        <w:t>and</w:t>
      </w:r>
      <w:r>
        <w:rPr>
          <w:rFonts w:ascii="Times New Roman" w:hAnsi="Times New Roman"/>
          <w:color w:val="000000"/>
          <w:sz w:val="24"/>
        </w:rPr>
        <w:t xml:space="preserve"> </w:t>
      </w:r>
      <w:r>
        <w:rPr>
          <w:rFonts w:ascii="Times New Roman" w:hAnsi="Times New Roman"/>
          <w:i/>
          <w:color w:val="000000"/>
          <w:sz w:val="24"/>
        </w:rPr>
        <w:t>Warranties</w:t>
      </w:r>
      <w:r>
        <w:rPr>
          <w:rFonts w:ascii="Times New Roman" w:hAnsi="Times New Roman"/>
          <w:color w:val="000000"/>
          <w:sz w:val="24"/>
        </w:rPr>
        <w:t>) to the Receivables Purchase Agreement on the Effective date, by references to the facts and circumstances subsisting on that date, as if such representations and warranties were set out in full in this Deed.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5.2.</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Representations and Warranties of the Servicer and Ashland Sub-Servicers</w:t>
      </w:r>
    </w:p>
    <w:p>
      <w:pPr>
        <w:pStyle w:val="TextBody"/>
        <w:bidi w:val="0"/>
        <w:spacing w:before="240" w:after="283"/>
        <w:jc w:val="both"/>
        <w:rPr>
          <w:rFonts w:ascii="Times New Roman" w:hAnsi="Times New Roman"/>
          <w:sz w:val="24"/>
        </w:rPr>
      </w:pPr>
      <w:r>
        <w:rPr>
          <w:rFonts w:ascii="Times New Roman" w:hAnsi="Times New Roman"/>
          <w:color w:val="000000"/>
          <w:sz w:val="24"/>
        </w:rPr>
        <w:t>Each of the Servicer and Ashland Sub-Servicers make the Representations and Warranties of the Servicer and Ashland Sub-Servicers as set out in Schedule 3, Part 2 (</w:t>
      </w:r>
      <w:r>
        <w:rPr>
          <w:rFonts w:ascii="Times New Roman" w:hAnsi="Times New Roman"/>
          <w:i/>
          <w:color w:val="000000"/>
          <w:sz w:val="24"/>
        </w:rPr>
        <w:t>Representations and Warranties of the Servicer and Ashland Sub-Servicers</w:t>
      </w:r>
      <w:r>
        <w:rPr>
          <w:rFonts w:ascii="Times New Roman" w:hAnsi="Times New Roman"/>
          <w:color w:val="000000"/>
          <w:sz w:val="24"/>
        </w:rPr>
        <w:t>) to the Receivables Purchase Agreement on the Effective date, by references to the facts and circumstances subsisting on that date, as if such representations and warranties were set out in full in this Deed.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5.3.</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Representations and Warranties of the Performance Guarantor</w:t>
      </w:r>
    </w:p>
    <w:p>
      <w:pPr>
        <w:pStyle w:val="TextBody"/>
        <w:bidi w:val="0"/>
        <w:spacing w:before="240" w:after="283"/>
        <w:jc w:val="both"/>
        <w:rPr>
          <w:rFonts w:ascii="Times New Roman" w:hAnsi="Times New Roman"/>
          <w:sz w:val="24"/>
        </w:rPr>
      </w:pPr>
      <w:r>
        <w:rPr>
          <w:rFonts w:ascii="Times New Roman" w:hAnsi="Times New Roman"/>
          <w:color w:val="000000"/>
          <w:sz w:val="24"/>
        </w:rPr>
        <w:t>The Performance Guarantor makes the Representations and Warranties of the Performance Guarantor as set out in Schedule 3, Part 3 (</w:t>
      </w:r>
      <w:r>
        <w:rPr>
          <w:rFonts w:ascii="Times New Roman" w:hAnsi="Times New Roman"/>
          <w:i/>
          <w:color w:val="000000"/>
          <w:sz w:val="24"/>
        </w:rPr>
        <w:t>Representations and Warranties</w:t>
      </w:r>
      <w:r>
        <w:rPr>
          <w:rFonts w:ascii="Times New Roman" w:hAnsi="Times New Roman"/>
          <w:color w:val="000000"/>
          <w:sz w:val="24"/>
        </w:rPr>
        <w:t xml:space="preserve"> </w:t>
      </w:r>
      <w:r>
        <w:rPr>
          <w:rFonts w:ascii="Times New Roman" w:hAnsi="Times New Roman"/>
          <w:i/>
          <w:color w:val="000000"/>
          <w:sz w:val="24"/>
        </w:rPr>
        <w:t>of</w:t>
      </w:r>
      <w:r>
        <w:rPr>
          <w:rFonts w:ascii="Times New Roman" w:hAnsi="Times New Roman"/>
          <w:color w:val="000000"/>
          <w:sz w:val="24"/>
        </w:rPr>
        <w:t xml:space="preserve"> </w:t>
      </w:r>
      <w:r>
        <w:rPr>
          <w:rFonts w:ascii="Times New Roman" w:hAnsi="Times New Roman"/>
          <w:i/>
          <w:color w:val="000000"/>
          <w:sz w:val="24"/>
        </w:rPr>
        <w:t>the</w:t>
      </w:r>
      <w:r>
        <w:rPr>
          <w:rFonts w:ascii="Times New Roman" w:hAnsi="Times New Roman"/>
          <w:color w:val="000000"/>
          <w:sz w:val="24"/>
        </w:rPr>
        <w:t xml:space="preserve"> </w:t>
      </w:r>
      <w:r>
        <w:rPr>
          <w:rFonts w:ascii="Times New Roman" w:hAnsi="Times New Roman"/>
          <w:i/>
          <w:color w:val="000000"/>
          <w:sz w:val="24"/>
        </w:rPr>
        <w:t>Performance</w:t>
      </w:r>
      <w:r>
        <w:rPr>
          <w:rFonts w:ascii="Times New Roman" w:hAnsi="Times New Roman"/>
          <w:color w:val="000000"/>
          <w:sz w:val="24"/>
        </w:rPr>
        <w:t xml:space="preserve"> </w:t>
      </w:r>
      <w:r>
        <w:rPr>
          <w:rFonts w:ascii="Times New Roman" w:hAnsi="Times New Roman"/>
          <w:i/>
          <w:color w:val="000000"/>
          <w:sz w:val="24"/>
        </w:rPr>
        <w:t>Guarantor</w:t>
      </w:r>
      <w:r>
        <w:rPr>
          <w:rFonts w:ascii="Times New Roman" w:hAnsi="Times New Roman"/>
          <w:color w:val="000000"/>
          <w:sz w:val="24"/>
        </w:rPr>
        <w:t>) to the Receivables Purchase Agreement on the Effective date, by references to the facts and circumstances subsisting on that date, as if such representations and warranties were set out in full in this Deed.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5.4.</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Representations and Warranties of the Originators</w:t>
      </w:r>
    </w:p>
    <w:p>
      <w:pPr>
        <w:pStyle w:val="TextBody"/>
        <w:bidi w:val="0"/>
        <w:spacing w:before="240" w:after="283"/>
        <w:jc w:val="both"/>
        <w:rPr>
          <w:rFonts w:ascii="Times New Roman" w:hAnsi="Times New Roman"/>
          <w:sz w:val="24"/>
        </w:rPr>
      </w:pPr>
      <w:r>
        <w:rPr>
          <w:rFonts w:ascii="Times New Roman" w:hAnsi="Times New Roman"/>
          <w:color w:val="000000"/>
          <w:sz w:val="24"/>
        </w:rPr>
        <w:t>Each of the Originators make the Representations and Warranties of the Originators as set out in Schedule 3, Part 4 (</w:t>
      </w:r>
      <w:r>
        <w:rPr>
          <w:rFonts w:ascii="Times New Roman" w:hAnsi="Times New Roman"/>
          <w:i/>
          <w:color w:val="000000"/>
          <w:sz w:val="24"/>
        </w:rPr>
        <w:t>Representations</w:t>
      </w:r>
      <w:r>
        <w:rPr>
          <w:rFonts w:ascii="Times New Roman" w:hAnsi="Times New Roman"/>
          <w:color w:val="000000"/>
          <w:sz w:val="24"/>
        </w:rPr>
        <w:t xml:space="preserve"> </w:t>
      </w:r>
      <w:r>
        <w:rPr>
          <w:rFonts w:ascii="Times New Roman" w:hAnsi="Times New Roman"/>
          <w:i/>
          <w:color w:val="000000"/>
          <w:sz w:val="24"/>
        </w:rPr>
        <w:t>and</w:t>
      </w:r>
      <w:r>
        <w:rPr>
          <w:rFonts w:ascii="Times New Roman" w:hAnsi="Times New Roman"/>
          <w:color w:val="000000"/>
          <w:sz w:val="24"/>
        </w:rPr>
        <w:t xml:space="preserve"> </w:t>
      </w:r>
      <w:r>
        <w:rPr>
          <w:rFonts w:ascii="Times New Roman" w:hAnsi="Times New Roman"/>
          <w:i/>
          <w:color w:val="000000"/>
          <w:sz w:val="24"/>
        </w:rPr>
        <w:t>Warranties</w:t>
      </w:r>
      <w:r>
        <w:rPr>
          <w:rFonts w:ascii="Times New Roman" w:hAnsi="Times New Roman"/>
          <w:color w:val="000000"/>
          <w:sz w:val="24"/>
        </w:rPr>
        <w:t xml:space="preserve"> </w:t>
      </w:r>
      <w:r>
        <w:rPr>
          <w:rFonts w:ascii="Times New Roman" w:hAnsi="Times New Roman"/>
          <w:i/>
          <w:color w:val="000000"/>
          <w:sz w:val="24"/>
        </w:rPr>
        <w:t>of</w:t>
      </w:r>
      <w:r>
        <w:rPr>
          <w:rFonts w:ascii="Times New Roman" w:hAnsi="Times New Roman"/>
          <w:color w:val="000000"/>
          <w:sz w:val="24"/>
        </w:rPr>
        <w:t xml:space="preserve"> </w:t>
      </w:r>
      <w:r>
        <w:rPr>
          <w:rFonts w:ascii="Times New Roman" w:hAnsi="Times New Roman"/>
          <w:i/>
          <w:color w:val="000000"/>
          <w:sz w:val="24"/>
        </w:rPr>
        <w:t>the</w:t>
      </w:r>
      <w:r>
        <w:rPr>
          <w:rFonts w:ascii="Times New Roman" w:hAnsi="Times New Roman"/>
          <w:color w:val="000000"/>
          <w:sz w:val="24"/>
        </w:rPr>
        <w:t xml:space="preserve"> Originators) to the Receivables Purchase Agreement on the Effective date, by references to the facts and circumstances subsisting on that date, as if such representations and warranties were set out in full in this Deed.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rFonts w:ascii="Times New Roman" w:hAnsi="Times New Roman"/>
          <w:sz w:val="24"/>
        </w:rPr>
      </w:pPr>
      <w:r>
        <w:rPr>
          <w:rFonts w:ascii="Times New Roman" w:hAnsi="Times New Roman"/>
          <w:b/>
          <w:color w:val="000000"/>
          <w:sz w:val="24"/>
        </w:rPr>
        <w:t>RELATIONSHIP</w:t>
      </w:r>
      <w:r>
        <w:rPr>
          <w:rFonts w:ascii="Times New Roman" w:hAnsi="Times New Roman"/>
          <w:color w:val="000000"/>
          <w:sz w:val="24"/>
        </w:rPr>
        <w:t xml:space="preserve"> </w:t>
      </w:r>
      <w:r>
        <w:rPr>
          <w:rFonts w:ascii="Times New Roman" w:hAnsi="Times New Roman"/>
          <w:b/>
          <w:color w:val="000000"/>
          <w:sz w:val="24"/>
        </w:rPr>
        <w:t>WITH</w:t>
      </w:r>
      <w:r>
        <w:rPr>
          <w:rFonts w:ascii="Times New Roman" w:hAnsi="Times New Roman"/>
          <w:color w:val="000000"/>
          <w:sz w:val="24"/>
        </w:rPr>
        <w:t xml:space="preserve"> </w:t>
      </w:r>
      <w:r>
        <w:rPr>
          <w:rFonts w:ascii="Times New Roman" w:hAnsi="Times New Roman"/>
          <w:b/>
          <w:color w:val="000000"/>
          <w:sz w:val="24"/>
        </w:rPr>
        <w:t>OTHER</w:t>
      </w:r>
      <w:r>
        <w:rPr>
          <w:rFonts w:ascii="Times New Roman" w:hAnsi="Times New Roman"/>
          <w:color w:val="000000"/>
          <w:sz w:val="24"/>
        </w:rPr>
        <w:t xml:space="preserve"> </w:t>
      </w:r>
      <w:r>
        <w:rPr>
          <w:rFonts w:ascii="Times New Roman" w:hAnsi="Times New Roman"/>
          <w:b/>
          <w:color w:val="000000"/>
          <w:sz w:val="24"/>
        </w:rPr>
        <w:t>FINANCE</w:t>
      </w:r>
      <w:r>
        <w:rPr>
          <w:rFonts w:ascii="Times New Roman" w:hAnsi="Times New Roman"/>
          <w:color w:val="000000"/>
          <w:sz w:val="24"/>
        </w:rPr>
        <w:t xml:space="preserve"> </w:t>
      </w:r>
      <w:r>
        <w:rPr>
          <w:rFonts w:ascii="Times New Roman" w:hAnsi="Times New Roman"/>
          <w:b/>
          <w:color w:val="000000"/>
          <w:sz w:val="24"/>
        </w:rPr>
        <w:t>DOCUMENTS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6.1.</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Status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Parties agree that this Deed shall be a Transaction Document for the purposes of the Master Framework Agreement (as amended by this Deed).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rFonts w:ascii="Times New Roman" w:hAnsi="Times New Roman"/>
          <w:sz w:val="24"/>
        </w:rPr>
      </w:pPr>
      <w:r>
        <w:rPr>
          <w:rFonts w:ascii="Times New Roman" w:hAnsi="Times New Roman"/>
          <w:b/>
          <w:color w:val="000000"/>
          <w:sz w:val="24"/>
        </w:rPr>
        <w:t>LAW</w:t>
      </w:r>
      <w:r>
        <w:rPr>
          <w:rFonts w:ascii="Times New Roman" w:hAnsi="Times New Roman"/>
          <w:color w:val="000000"/>
          <w:sz w:val="24"/>
        </w:rPr>
        <w:t xml:space="preserve"> </w:t>
      </w:r>
      <w:r>
        <w:rPr>
          <w:rFonts w:ascii="Times New Roman" w:hAnsi="Times New Roman"/>
          <w:b/>
          <w:color w:val="000000"/>
          <w:sz w:val="24"/>
        </w:rPr>
        <w:t>AND</w:t>
      </w:r>
      <w:r>
        <w:rPr>
          <w:rFonts w:ascii="Times New Roman" w:hAnsi="Times New Roman"/>
          <w:color w:val="000000"/>
          <w:sz w:val="24"/>
        </w:rPr>
        <w:t xml:space="preserve"> </w:t>
      </w:r>
      <w:r>
        <w:rPr>
          <w:rFonts w:ascii="Times New Roman" w:hAnsi="Times New Roman"/>
          <w:b/>
          <w:color w:val="000000"/>
          <w:sz w:val="24"/>
        </w:rPr>
        <w:t>JURISDICTION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7.1.</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Governing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Deed and any non-contractual obligations arising out of or in connection with it are governed by, and shall be construed in accordance with, English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7.2.</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Jurisdiction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The courts of England have exclusive jurisdiction to settle any dispute arising out of or in connection with this Deed (including a dispute relating to the existence, validity or termination of this Deed or any non-contractual obligation arising out of or in connection with this Deed) (a </w:t>
      </w:r>
      <w:r>
        <w:rPr>
          <w:rFonts w:ascii="Times New Roman" w:hAnsi="Times New Roman"/>
          <w:b/>
          <w:color w:val="000000"/>
          <w:sz w:val="24"/>
        </w:rPr>
        <w:t>"Dispute"</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Parties agree that the courts of England are the most appropriate and convenient courts to settle Disputes and accordingly no Party will argue to the contrary.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Clause 7.2 is for the benefit of the Secured Parties only. As a result, no Secured Party shall be prevented from taking proceedings relating to a Dispute in any other courts with jurisdiction. To the extent allowed by law, the Secured Parties may take concurrent proceedings in any number of jurisdictions.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rFonts w:ascii="Times New Roman" w:hAnsi="Times New Roman"/>
          <w:sz w:val="24"/>
        </w:rPr>
      </w:pPr>
      <w:r>
        <w:rPr>
          <w:rFonts w:ascii="Times New Roman" w:hAnsi="Times New Roman"/>
          <w:b/>
          <w:color w:val="000000"/>
          <w:sz w:val="24"/>
        </w:rPr>
        <w:t>BAIL-IN</w:t>
      </w:r>
      <w:r>
        <w:rPr>
          <w:rFonts w:ascii="Times New Roman" w:hAnsi="Times New Roman"/>
          <w:color w:val="000000"/>
          <w:sz w:val="24"/>
        </w:rPr>
        <w:t xml:space="preserve"> </w:t>
      </w:r>
      <w:r>
        <w:rPr>
          <w:rFonts w:ascii="Times New Roman" w:hAnsi="Times New Roman"/>
          <w:b/>
          <w:color w:val="000000"/>
          <w:sz w:val="24"/>
        </w:rPr>
        <w:t>RECOGNITION</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Each of the parties hereto acknowledges and agrees that schedule 7 (Bail-in Recognition Provisions) of the Master Framework Agreement shall bind each of them as if set out in full herein </w:t>
      </w:r>
      <w:r>
        <w:rPr>
          <w:rFonts w:ascii="Times New Roman" w:hAnsi="Times New Roman"/>
          <w:i/>
          <w:color w:val="000000"/>
          <w:sz w:val="24"/>
        </w:rPr>
        <w:t>mutatis mutandis</w:t>
      </w:r>
      <w:r>
        <w:rPr>
          <w:rFonts w:ascii="Times New Roman" w:hAnsi="Times New Roman"/>
          <w:color w:val="000000"/>
          <w:sz w:val="24"/>
        </w:rPr>
        <w:t>.</w:t>
      </w:r>
    </w:p>
    <w:p>
      <w:pPr>
        <w:pStyle w:val="Heading1"/>
        <w:bidi w:val="0"/>
        <w:spacing w:before="240" w:after="283"/>
        <w:jc w:val="both"/>
        <w:rPr>
          <w:rFonts w:ascii="Times New Roman" w:hAnsi="Times New Roman"/>
          <w:color w:val="000000"/>
          <w:sz w:val="24"/>
        </w:rPr>
      </w:pPr>
      <w:r>
        <w:rPr>
          <w:rFonts w:ascii="Times New Roman" w:hAnsi="Times New Roman"/>
          <w:color w:val="000000"/>
          <w:sz w:val="24"/>
        </w:rPr>
        <w:t>EXECUTION: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Parties have shown their acceptance of the terms of this Deed by executing it at the end of the Schedules.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62" w:after="283"/>
        <w:jc w:val="center"/>
        <w:rPr>
          <w:rFonts w:ascii="Times New Roman" w:hAnsi="Times New Roman"/>
          <w:color w:val="000000"/>
          <w:sz w:val="24"/>
        </w:rPr>
      </w:pPr>
      <w:r>
        <w:rPr>
          <w:rFonts w:ascii="Times New Roman" w:hAnsi="Times New Roman"/>
          <w:color w:val="000000"/>
          <w:sz w:val="24"/>
        </w:rPr>
        <w:t>SCHEDULE 1</w:t>
      </w:r>
    </w:p>
    <w:p>
      <w:pPr>
        <w:pStyle w:val="TextBody"/>
        <w:bidi w:val="0"/>
        <w:jc w:val="center"/>
        <w:rPr>
          <w:rFonts w:ascii="Times New Roman" w:hAnsi="Times New Roman"/>
          <w:sz w:val="24"/>
        </w:rPr>
      </w:pPr>
      <w:r>
        <w:rPr>
          <w:rFonts w:ascii="Times New Roman" w:hAnsi="Times New Roman"/>
          <w:b/>
          <w:color w:val="000000"/>
          <w:sz w:val="24"/>
        </w:rPr>
        <w:t>AMENDED</w:t>
      </w:r>
      <w:r>
        <w:rPr>
          <w:rFonts w:ascii="Times New Roman" w:hAnsi="Times New Roman"/>
          <w:color w:val="000000"/>
          <w:sz w:val="24"/>
        </w:rPr>
        <w:t xml:space="preserve"> </w:t>
      </w:r>
      <w:r>
        <w:rPr>
          <w:rFonts w:ascii="Times New Roman" w:hAnsi="Times New Roman"/>
          <w:b/>
          <w:color w:val="000000"/>
          <w:sz w:val="24"/>
        </w:rPr>
        <w:t>AND</w:t>
      </w:r>
      <w:r>
        <w:rPr>
          <w:rFonts w:ascii="Times New Roman" w:hAnsi="Times New Roman"/>
          <w:color w:val="000000"/>
          <w:sz w:val="24"/>
        </w:rPr>
        <w:t xml:space="preserve"> </w:t>
      </w:r>
      <w:r>
        <w:rPr>
          <w:rFonts w:ascii="Times New Roman" w:hAnsi="Times New Roman"/>
          <w:b/>
          <w:color w:val="000000"/>
          <w:sz w:val="24"/>
        </w:rPr>
        <w:t>RESTATED</w:t>
      </w:r>
      <w:r>
        <w:rPr>
          <w:rFonts w:ascii="Times New Roman" w:hAnsi="Times New Roman"/>
          <w:color w:val="000000"/>
          <w:sz w:val="24"/>
        </w:rPr>
        <w:t xml:space="preserve"> </w:t>
      </w:r>
      <w:r>
        <w:rPr>
          <w:rFonts w:ascii="Times New Roman" w:hAnsi="Times New Roman"/>
          <w:b/>
          <w:color w:val="000000"/>
          <w:sz w:val="24"/>
        </w:rPr>
        <w:t>MASTER</w:t>
      </w:r>
      <w:r>
        <w:rPr>
          <w:rFonts w:ascii="Times New Roman" w:hAnsi="Times New Roman"/>
          <w:color w:val="000000"/>
          <w:sz w:val="24"/>
        </w:rPr>
        <w:t xml:space="preserve"> </w:t>
      </w:r>
      <w:r>
        <w:rPr>
          <w:rFonts w:ascii="Times New Roman" w:hAnsi="Times New Roman"/>
          <w:b/>
          <w:color w:val="000000"/>
          <w:sz w:val="24"/>
        </w:rPr>
        <w:t>FRAMEWORK</w:t>
      </w:r>
      <w:r>
        <w:rPr>
          <w:rFonts w:ascii="Times New Roman" w:hAnsi="Times New Roman"/>
          <w:color w:val="000000"/>
          <w:sz w:val="24"/>
        </w:rPr>
        <w:t xml:space="preserve"> </w:t>
      </w:r>
      <w:r>
        <w:rPr>
          <w:rFonts w:ascii="Times New Roman" w:hAnsi="Times New Roman"/>
          <w:b/>
          <w:color w:val="000000"/>
          <w:sz w:val="24"/>
        </w:rPr>
        <w:t>AGREEMENT</w:t>
      </w:r>
    </w:p>
    <w:p>
      <w:pPr>
        <w:pStyle w:val="TextBody"/>
        <w:bidi w:val="0"/>
        <w:jc w:val="left"/>
        <w:rPr>
          <w:rFonts w:ascii="Times New Roman" w:hAnsi="Times New Roman"/>
          <w:color w:val="000000"/>
          <w:sz w:val="24"/>
        </w:rPr>
      </w:pPr>
      <w:r>
        <w:rPr>
          <w:rFonts w:ascii="Times New Roman" w:hAnsi="Times New Roman"/>
          <w:color w:val="000000"/>
          <w:sz w:val="24"/>
        </w:rPr>
        <w:t>EXECUTION VERSION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Originally dated 19 October 2023 and amended and restated on 24 September 2026</w:t>
      </w:r>
    </w:p>
    <w:p>
      <w:pPr>
        <w:pStyle w:val="TextBody"/>
        <w:bidi w:val="0"/>
        <w:spacing w:before="240" w:after="283"/>
        <w:jc w:val="both"/>
        <w:rPr>
          <w:rFonts w:ascii="Times New Roman" w:hAnsi="Times New Roman"/>
          <w:sz w:val="22"/>
        </w:rPr>
      </w:pPr>
      <w:r>
        <w:rPr>
          <w:rFonts w:ascii="Times New Roman" w:hAnsi="Times New Roman"/>
          <w:color w:val="000000"/>
          <w:sz w:val="22"/>
        </w:rPr>
        <w:t xml:space="preserve">(1) </w:t>
      </w:r>
      <w:r>
        <w:rPr>
          <w:rFonts w:ascii="Times New Roman" w:hAnsi="Times New Roman"/>
          <w:b/>
          <w:color w:val="000000"/>
          <w:sz w:val="22"/>
        </w:rPr>
        <w:t>ASHLAND</w:t>
      </w:r>
      <w:r>
        <w:rPr>
          <w:rFonts w:ascii="Times New Roman" w:hAnsi="Times New Roman"/>
          <w:color w:val="000000"/>
          <w:sz w:val="22"/>
        </w:rPr>
        <w:t xml:space="preserve"> </w:t>
      </w:r>
      <w:r>
        <w:rPr>
          <w:rFonts w:ascii="Times New Roman" w:hAnsi="Times New Roman"/>
          <w:b/>
          <w:color w:val="000000"/>
          <w:sz w:val="22"/>
        </w:rPr>
        <w:t>INTERNATIONAL</w:t>
      </w:r>
      <w:r>
        <w:rPr>
          <w:rFonts w:ascii="Times New Roman" w:hAnsi="Times New Roman"/>
          <w:color w:val="000000"/>
          <w:sz w:val="22"/>
        </w:rPr>
        <w:t xml:space="preserve"> </w:t>
      </w:r>
      <w:r>
        <w:rPr>
          <w:rFonts w:ascii="Times New Roman" w:hAnsi="Times New Roman"/>
          <w:b/>
          <w:color w:val="000000"/>
          <w:sz w:val="22"/>
        </w:rPr>
        <w:t>RECEIVABLES DESIGNATED</w:t>
      </w:r>
      <w:r>
        <w:rPr>
          <w:rFonts w:ascii="Times New Roman" w:hAnsi="Times New Roman"/>
          <w:color w:val="000000"/>
          <w:sz w:val="22"/>
        </w:rPr>
        <w:t xml:space="preserve"> </w:t>
      </w:r>
      <w:r>
        <w:rPr>
          <w:rFonts w:ascii="Times New Roman" w:hAnsi="Times New Roman"/>
          <w:b/>
          <w:color w:val="000000"/>
          <w:sz w:val="22"/>
        </w:rPr>
        <w:t>ACTIVITY</w:t>
      </w:r>
      <w:r>
        <w:rPr>
          <w:rFonts w:ascii="Times New Roman" w:hAnsi="Times New Roman"/>
          <w:color w:val="000000"/>
          <w:sz w:val="22"/>
        </w:rPr>
        <w:t xml:space="preserve"> </w:t>
      </w:r>
      <w:r>
        <w:rPr>
          <w:rFonts w:ascii="Times New Roman" w:hAnsi="Times New Roman"/>
          <w:b/>
          <w:color w:val="000000"/>
          <w:sz w:val="22"/>
        </w:rPr>
        <w:t>COMPANY</w:t>
      </w:r>
      <w:r>
        <w:rPr>
          <w:rFonts w:ascii="Times New Roman" w:hAnsi="Times New Roman"/>
          <w:color w:val="000000"/>
          <w:sz w:val="22"/>
        </w:rPr>
        <w:t xml:space="preserve"> as Seller</w:t>
      </w:r>
    </w:p>
    <w:p>
      <w:pPr>
        <w:pStyle w:val="TextBody"/>
        <w:bidi w:val="0"/>
        <w:spacing w:before="240" w:after="283"/>
        <w:jc w:val="both"/>
        <w:rPr>
          <w:rFonts w:ascii="Times New Roman" w:hAnsi="Times New Roman"/>
          <w:sz w:val="22"/>
        </w:rPr>
      </w:pPr>
      <w:r>
        <w:rPr>
          <w:rFonts w:ascii="Times New Roman" w:hAnsi="Times New Roman"/>
          <w:color w:val="000000"/>
          <w:sz w:val="22"/>
        </w:rPr>
        <w:t xml:space="preserve">(2) </w:t>
      </w:r>
      <w:r>
        <w:rPr>
          <w:rFonts w:ascii="Times New Roman" w:hAnsi="Times New Roman"/>
          <w:b/>
          <w:color w:val="000000"/>
          <w:sz w:val="22"/>
        </w:rPr>
        <w:t>ASHLAND</w:t>
      </w:r>
      <w:r>
        <w:rPr>
          <w:rFonts w:ascii="Times New Roman" w:hAnsi="Times New Roman"/>
          <w:color w:val="000000"/>
          <w:sz w:val="22"/>
        </w:rPr>
        <w:t xml:space="preserve"> </w:t>
      </w:r>
      <w:r>
        <w:rPr>
          <w:rFonts w:ascii="Times New Roman" w:hAnsi="Times New Roman"/>
          <w:b/>
          <w:color w:val="000000"/>
          <w:sz w:val="22"/>
        </w:rPr>
        <w:t>INC.</w:t>
      </w:r>
      <w:r>
        <w:rPr>
          <w:rFonts w:ascii="Times New Roman" w:hAnsi="Times New Roman"/>
          <w:color w:val="000000"/>
          <w:sz w:val="22"/>
        </w:rPr>
        <w:t xml:space="preserve"> as Performance Guarantor</w:t>
      </w:r>
    </w:p>
    <w:p>
      <w:pPr>
        <w:pStyle w:val="TextBody"/>
        <w:bidi w:val="0"/>
        <w:spacing w:before="240" w:after="283"/>
        <w:jc w:val="both"/>
        <w:rPr>
          <w:rFonts w:ascii="Times New Roman" w:hAnsi="Times New Roman"/>
          <w:sz w:val="22"/>
        </w:rPr>
      </w:pPr>
      <w:r>
        <w:rPr>
          <w:rFonts w:ascii="Times New Roman" w:hAnsi="Times New Roman"/>
          <w:color w:val="000000"/>
          <w:sz w:val="22"/>
        </w:rPr>
        <w:t xml:space="preserve">(3) </w:t>
      </w:r>
      <w:r>
        <w:rPr>
          <w:rFonts w:ascii="Times New Roman" w:hAnsi="Times New Roman"/>
          <w:b/>
          <w:color w:val="000000"/>
          <w:sz w:val="22"/>
        </w:rPr>
        <w:t>ASHLAND</w:t>
      </w:r>
      <w:r>
        <w:rPr>
          <w:rFonts w:ascii="Times New Roman" w:hAnsi="Times New Roman"/>
          <w:color w:val="000000"/>
          <w:sz w:val="22"/>
        </w:rPr>
        <w:t xml:space="preserve"> </w:t>
      </w:r>
      <w:r>
        <w:rPr>
          <w:rFonts w:ascii="Times New Roman" w:hAnsi="Times New Roman"/>
          <w:b/>
          <w:color w:val="000000"/>
          <w:sz w:val="22"/>
        </w:rPr>
        <w:t>INDUSTRIES</w:t>
      </w:r>
      <w:r>
        <w:rPr>
          <w:rFonts w:ascii="Times New Roman" w:hAnsi="Times New Roman"/>
          <w:color w:val="000000"/>
          <w:sz w:val="22"/>
        </w:rPr>
        <w:t xml:space="preserve"> </w:t>
      </w:r>
      <w:r>
        <w:rPr>
          <w:rFonts w:ascii="Times New Roman" w:hAnsi="Times New Roman"/>
          <w:b/>
          <w:color w:val="000000"/>
          <w:sz w:val="22"/>
        </w:rPr>
        <w:t>FRANCE</w:t>
      </w:r>
      <w:r>
        <w:rPr>
          <w:rFonts w:ascii="Times New Roman" w:hAnsi="Times New Roman"/>
          <w:color w:val="000000"/>
          <w:sz w:val="22"/>
        </w:rPr>
        <w:t xml:space="preserve"> </w:t>
      </w:r>
      <w:r>
        <w:rPr>
          <w:rFonts w:ascii="Times New Roman" w:hAnsi="Times New Roman"/>
          <w:b/>
          <w:color w:val="000000"/>
          <w:sz w:val="22"/>
        </w:rPr>
        <w:t>SAS</w:t>
      </w:r>
      <w:r>
        <w:rPr>
          <w:rFonts w:ascii="Times New Roman" w:hAnsi="Times New Roman"/>
          <w:color w:val="000000"/>
          <w:sz w:val="22"/>
        </w:rPr>
        <w:t xml:space="preserve"> as French Originator and French Sub-Servicer</w:t>
      </w:r>
    </w:p>
    <w:p>
      <w:pPr>
        <w:pStyle w:val="TextBody"/>
        <w:bidi w:val="0"/>
        <w:spacing w:before="240" w:after="283"/>
        <w:jc w:val="both"/>
        <w:rPr>
          <w:rFonts w:ascii="Times New Roman" w:hAnsi="Times New Roman"/>
          <w:sz w:val="22"/>
        </w:rPr>
      </w:pPr>
      <w:r>
        <w:rPr>
          <w:rFonts w:ascii="Times New Roman" w:hAnsi="Times New Roman"/>
          <w:color w:val="000000"/>
          <w:sz w:val="22"/>
        </w:rPr>
        <w:t xml:space="preserve">(4) </w:t>
      </w:r>
      <w:r>
        <w:rPr>
          <w:rFonts w:ascii="Times New Roman" w:hAnsi="Times New Roman"/>
          <w:b/>
          <w:color w:val="000000"/>
          <w:sz w:val="22"/>
        </w:rPr>
        <w:t>ASHLAND</w:t>
      </w:r>
      <w:r>
        <w:rPr>
          <w:rFonts w:ascii="Times New Roman" w:hAnsi="Times New Roman"/>
          <w:color w:val="000000"/>
          <w:sz w:val="22"/>
        </w:rPr>
        <w:t xml:space="preserve"> </w:t>
      </w:r>
      <w:r>
        <w:rPr>
          <w:rFonts w:ascii="Times New Roman" w:hAnsi="Times New Roman"/>
          <w:b/>
          <w:color w:val="000000"/>
          <w:sz w:val="22"/>
        </w:rPr>
        <w:t>INDUSTRIES</w:t>
      </w:r>
      <w:r>
        <w:rPr>
          <w:rFonts w:ascii="Times New Roman" w:hAnsi="Times New Roman"/>
          <w:color w:val="000000"/>
          <w:sz w:val="22"/>
        </w:rPr>
        <w:t xml:space="preserve"> </w:t>
      </w:r>
      <w:r>
        <w:rPr>
          <w:rFonts w:ascii="Times New Roman" w:hAnsi="Times New Roman"/>
          <w:b/>
          <w:color w:val="000000"/>
          <w:sz w:val="22"/>
        </w:rPr>
        <w:t>DEUTSCHLAND GMBH</w:t>
      </w:r>
      <w:r>
        <w:rPr>
          <w:rFonts w:ascii="Times New Roman" w:hAnsi="Times New Roman"/>
          <w:color w:val="000000"/>
          <w:sz w:val="22"/>
        </w:rPr>
        <w:t xml:space="preserve"> as German Originator, German Sub-Servicer and Subordinated Lender</w:t>
      </w:r>
    </w:p>
    <w:p>
      <w:pPr>
        <w:pStyle w:val="TextBody"/>
        <w:bidi w:val="0"/>
        <w:spacing w:before="240" w:after="283"/>
        <w:jc w:val="both"/>
        <w:rPr>
          <w:rFonts w:ascii="Times New Roman" w:hAnsi="Times New Roman"/>
          <w:sz w:val="22"/>
        </w:rPr>
      </w:pPr>
      <w:r>
        <w:rPr>
          <w:rFonts w:ascii="Times New Roman" w:hAnsi="Times New Roman"/>
          <w:color w:val="000000"/>
          <w:sz w:val="22"/>
        </w:rPr>
        <w:t xml:space="preserve">(5) </w:t>
      </w:r>
      <w:r>
        <w:rPr>
          <w:rFonts w:ascii="Times New Roman" w:hAnsi="Times New Roman"/>
          <w:b/>
          <w:color w:val="000000"/>
          <w:sz w:val="22"/>
        </w:rPr>
        <w:t>ASHLAND</w:t>
      </w:r>
      <w:r>
        <w:rPr>
          <w:rFonts w:ascii="Times New Roman" w:hAnsi="Times New Roman"/>
          <w:color w:val="000000"/>
          <w:sz w:val="22"/>
        </w:rPr>
        <w:t xml:space="preserve"> </w:t>
      </w:r>
      <w:r>
        <w:rPr>
          <w:rFonts w:ascii="Times New Roman" w:hAnsi="Times New Roman"/>
          <w:b/>
          <w:color w:val="000000"/>
          <w:sz w:val="22"/>
        </w:rPr>
        <w:t>INDUSTRIES</w:t>
      </w:r>
      <w:r>
        <w:rPr>
          <w:rFonts w:ascii="Times New Roman" w:hAnsi="Times New Roman"/>
          <w:color w:val="000000"/>
          <w:sz w:val="22"/>
        </w:rPr>
        <w:t xml:space="preserve"> </w:t>
      </w:r>
      <w:r>
        <w:rPr>
          <w:rFonts w:ascii="Times New Roman" w:hAnsi="Times New Roman"/>
          <w:b/>
          <w:color w:val="000000"/>
          <w:sz w:val="22"/>
        </w:rPr>
        <w:t>ITALIA</w:t>
      </w:r>
      <w:r>
        <w:rPr>
          <w:rFonts w:ascii="Times New Roman" w:hAnsi="Times New Roman"/>
          <w:color w:val="000000"/>
          <w:sz w:val="22"/>
        </w:rPr>
        <w:t xml:space="preserve"> </w:t>
      </w:r>
      <w:r>
        <w:rPr>
          <w:rFonts w:ascii="Times New Roman" w:hAnsi="Times New Roman"/>
          <w:b/>
          <w:color w:val="000000"/>
          <w:sz w:val="22"/>
        </w:rPr>
        <w:t>S.R.L</w:t>
      </w:r>
      <w:r>
        <w:rPr>
          <w:rFonts w:ascii="Times New Roman" w:hAnsi="Times New Roman"/>
          <w:color w:val="000000"/>
          <w:sz w:val="22"/>
        </w:rPr>
        <w:t xml:space="preserve"> as Italian Originator and Italian Sub-Servicer</w:t>
      </w:r>
    </w:p>
    <w:p>
      <w:pPr>
        <w:pStyle w:val="TextBody"/>
        <w:bidi w:val="0"/>
        <w:spacing w:before="240" w:after="283"/>
        <w:jc w:val="both"/>
        <w:rPr>
          <w:rFonts w:ascii="Times New Roman" w:hAnsi="Times New Roman"/>
          <w:sz w:val="22"/>
        </w:rPr>
      </w:pPr>
      <w:r>
        <w:rPr>
          <w:rFonts w:ascii="Times New Roman" w:hAnsi="Times New Roman"/>
          <w:color w:val="000000"/>
          <w:sz w:val="22"/>
        </w:rPr>
        <w:t xml:space="preserve">(6) </w:t>
      </w:r>
      <w:r>
        <w:rPr>
          <w:rFonts w:ascii="Times New Roman" w:hAnsi="Times New Roman"/>
          <w:b/>
          <w:color w:val="000000"/>
          <w:sz w:val="22"/>
        </w:rPr>
        <w:t>ASHLAND</w:t>
      </w:r>
      <w:r>
        <w:rPr>
          <w:rFonts w:ascii="Times New Roman" w:hAnsi="Times New Roman"/>
          <w:color w:val="000000"/>
          <w:sz w:val="22"/>
        </w:rPr>
        <w:t xml:space="preserve"> </w:t>
      </w:r>
      <w:r>
        <w:rPr>
          <w:rFonts w:ascii="Times New Roman" w:hAnsi="Times New Roman"/>
          <w:b/>
          <w:color w:val="000000"/>
          <w:sz w:val="22"/>
        </w:rPr>
        <w:t>SPECIALTY</w:t>
      </w:r>
      <w:r>
        <w:rPr>
          <w:rFonts w:ascii="Times New Roman" w:hAnsi="Times New Roman"/>
          <w:color w:val="000000"/>
          <w:sz w:val="22"/>
        </w:rPr>
        <w:t xml:space="preserve"> </w:t>
      </w:r>
      <w:r>
        <w:rPr>
          <w:rFonts w:ascii="Times New Roman" w:hAnsi="Times New Roman"/>
          <w:b/>
          <w:color w:val="000000"/>
          <w:sz w:val="22"/>
        </w:rPr>
        <w:t>CHEMICAL (SINGAPORE)</w:t>
      </w:r>
      <w:r>
        <w:rPr>
          <w:rFonts w:ascii="Times New Roman" w:hAnsi="Times New Roman"/>
          <w:color w:val="000000"/>
          <w:sz w:val="22"/>
        </w:rPr>
        <w:t xml:space="preserve"> </w:t>
      </w:r>
      <w:r>
        <w:rPr>
          <w:rFonts w:ascii="Times New Roman" w:hAnsi="Times New Roman"/>
          <w:b/>
          <w:color w:val="000000"/>
          <w:sz w:val="22"/>
        </w:rPr>
        <w:t>PTE.</w:t>
      </w:r>
      <w:r>
        <w:rPr>
          <w:rFonts w:ascii="Times New Roman" w:hAnsi="Times New Roman"/>
          <w:color w:val="000000"/>
          <w:sz w:val="22"/>
        </w:rPr>
        <w:t xml:space="preserve"> </w:t>
      </w:r>
      <w:r>
        <w:rPr>
          <w:rFonts w:ascii="Times New Roman" w:hAnsi="Times New Roman"/>
          <w:b/>
          <w:color w:val="000000"/>
          <w:sz w:val="22"/>
        </w:rPr>
        <w:t>LTD</w:t>
      </w:r>
      <w:r>
        <w:rPr>
          <w:rFonts w:ascii="Times New Roman" w:hAnsi="Times New Roman"/>
          <w:color w:val="000000"/>
          <w:sz w:val="22"/>
        </w:rPr>
        <w:t xml:space="preserve"> as Singaporean Originator and Singaporean Sub-Servicer</w:t>
      </w:r>
    </w:p>
    <w:p>
      <w:pPr>
        <w:pStyle w:val="TextBody"/>
        <w:bidi w:val="0"/>
        <w:spacing w:before="240" w:after="283"/>
        <w:jc w:val="left"/>
        <w:rPr>
          <w:rFonts w:ascii="Times New Roman" w:hAnsi="Times New Roman"/>
          <w:sz w:val="22"/>
        </w:rPr>
      </w:pPr>
      <w:r>
        <w:rPr>
          <w:rFonts w:ascii="Times New Roman" w:hAnsi="Times New Roman"/>
          <w:color w:val="000000"/>
          <w:sz w:val="22"/>
        </w:rPr>
        <w:t xml:space="preserve">(7) </w:t>
      </w:r>
      <w:r>
        <w:rPr>
          <w:rFonts w:ascii="Times New Roman" w:hAnsi="Times New Roman"/>
          <w:b/>
          <w:color w:val="000000"/>
          <w:sz w:val="22"/>
        </w:rPr>
        <w:t>ASHLAND</w:t>
      </w:r>
      <w:r>
        <w:rPr>
          <w:rFonts w:ascii="Times New Roman" w:hAnsi="Times New Roman"/>
          <w:color w:val="000000"/>
          <w:sz w:val="22"/>
        </w:rPr>
        <w:t xml:space="preserve"> </w:t>
      </w:r>
      <w:r>
        <w:rPr>
          <w:rFonts w:ascii="Times New Roman" w:hAnsi="Times New Roman"/>
          <w:b/>
          <w:color w:val="000000"/>
          <w:sz w:val="22"/>
        </w:rPr>
        <w:t>SPECIALTIES</w:t>
      </w:r>
      <w:r>
        <w:rPr>
          <w:rFonts w:ascii="Times New Roman" w:hAnsi="Times New Roman"/>
          <w:color w:val="000000"/>
          <w:sz w:val="22"/>
        </w:rPr>
        <w:t xml:space="preserve"> </w:t>
      </w:r>
      <w:r>
        <w:rPr>
          <w:rFonts w:ascii="Times New Roman" w:hAnsi="Times New Roman"/>
          <w:b/>
          <w:color w:val="000000"/>
          <w:sz w:val="22"/>
        </w:rPr>
        <w:t>HISPANIA,</w:t>
      </w:r>
      <w:r>
        <w:rPr>
          <w:rFonts w:ascii="Times New Roman" w:hAnsi="Times New Roman"/>
          <w:color w:val="000000"/>
          <w:sz w:val="22"/>
        </w:rPr>
        <w:t xml:space="preserve"> </w:t>
      </w:r>
      <w:r>
        <w:rPr>
          <w:rFonts w:ascii="Times New Roman" w:hAnsi="Times New Roman"/>
          <w:b/>
          <w:color w:val="000000"/>
          <w:sz w:val="22"/>
        </w:rPr>
        <w:t>S.L.U.</w:t>
      </w:r>
      <w:r>
        <w:rPr>
          <w:rFonts w:ascii="Times New Roman" w:hAnsi="Times New Roman"/>
          <w:color w:val="000000"/>
          <w:sz w:val="22"/>
        </w:rPr>
        <w:t xml:space="preserve"> as Spanish Originator and Spanish Sub-Servicer</w:t>
      </w:r>
    </w:p>
    <w:p>
      <w:pPr>
        <w:pStyle w:val="TextBody"/>
        <w:bidi w:val="0"/>
        <w:spacing w:before="240" w:after="283"/>
        <w:jc w:val="both"/>
        <w:rPr>
          <w:rFonts w:ascii="Times New Roman" w:hAnsi="Times New Roman"/>
          <w:sz w:val="22"/>
        </w:rPr>
      </w:pPr>
      <w:r>
        <w:rPr>
          <w:rFonts w:ascii="Times New Roman" w:hAnsi="Times New Roman"/>
          <w:color w:val="000000"/>
          <w:sz w:val="22"/>
        </w:rPr>
        <w:t xml:space="preserve">(8) </w:t>
      </w:r>
      <w:r>
        <w:rPr>
          <w:rFonts w:ascii="Times New Roman" w:hAnsi="Times New Roman"/>
          <w:b/>
          <w:color w:val="000000"/>
          <w:sz w:val="22"/>
        </w:rPr>
        <w:t>ASHLAND</w:t>
      </w:r>
      <w:r>
        <w:rPr>
          <w:rFonts w:ascii="Times New Roman" w:hAnsi="Times New Roman"/>
          <w:color w:val="000000"/>
          <w:sz w:val="22"/>
        </w:rPr>
        <w:t xml:space="preserve"> </w:t>
      </w:r>
      <w:r>
        <w:rPr>
          <w:rFonts w:ascii="Times New Roman" w:hAnsi="Times New Roman"/>
          <w:b/>
          <w:color w:val="000000"/>
          <w:sz w:val="22"/>
        </w:rPr>
        <w:t>INDUSTRIES</w:t>
      </w:r>
      <w:r>
        <w:rPr>
          <w:rFonts w:ascii="Times New Roman" w:hAnsi="Times New Roman"/>
          <w:color w:val="000000"/>
          <w:sz w:val="22"/>
        </w:rPr>
        <w:t xml:space="preserve"> </w:t>
      </w:r>
      <w:r>
        <w:rPr>
          <w:rFonts w:ascii="Times New Roman" w:hAnsi="Times New Roman"/>
          <w:b/>
          <w:color w:val="000000"/>
          <w:sz w:val="22"/>
        </w:rPr>
        <w:t>EUROPE</w:t>
      </w:r>
      <w:r>
        <w:rPr>
          <w:rFonts w:ascii="Times New Roman" w:hAnsi="Times New Roman"/>
          <w:color w:val="000000"/>
          <w:sz w:val="22"/>
        </w:rPr>
        <w:t xml:space="preserve"> </w:t>
      </w:r>
      <w:r>
        <w:rPr>
          <w:rFonts w:ascii="Times New Roman" w:hAnsi="Times New Roman"/>
          <w:b/>
          <w:color w:val="000000"/>
          <w:sz w:val="22"/>
        </w:rPr>
        <w:t>GMBH</w:t>
      </w:r>
      <w:r>
        <w:rPr>
          <w:rFonts w:ascii="Times New Roman" w:hAnsi="Times New Roman"/>
          <w:color w:val="000000"/>
          <w:sz w:val="22"/>
        </w:rPr>
        <w:t xml:space="preserve"> as Swiss Originator and Swiss Sub-Servicer</w:t>
      </w:r>
    </w:p>
    <w:p>
      <w:pPr>
        <w:pStyle w:val="TextBody"/>
        <w:bidi w:val="0"/>
        <w:spacing w:before="240" w:after="283"/>
        <w:jc w:val="both"/>
        <w:rPr>
          <w:rFonts w:ascii="Times New Roman" w:hAnsi="Times New Roman"/>
          <w:sz w:val="22"/>
        </w:rPr>
      </w:pPr>
      <w:r>
        <w:rPr>
          <w:rFonts w:ascii="Times New Roman" w:hAnsi="Times New Roman"/>
          <w:color w:val="000000"/>
          <w:sz w:val="22"/>
        </w:rPr>
        <w:t xml:space="preserve">(9) </w:t>
      </w:r>
      <w:r>
        <w:rPr>
          <w:rFonts w:ascii="Times New Roman" w:hAnsi="Times New Roman"/>
          <w:b/>
          <w:color w:val="000000"/>
          <w:sz w:val="22"/>
        </w:rPr>
        <w:t>ASHLAND</w:t>
      </w:r>
      <w:r>
        <w:rPr>
          <w:rFonts w:ascii="Times New Roman" w:hAnsi="Times New Roman"/>
          <w:color w:val="000000"/>
          <w:sz w:val="22"/>
        </w:rPr>
        <w:t xml:space="preserve"> </w:t>
      </w:r>
      <w:r>
        <w:rPr>
          <w:rFonts w:ascii="Times New Roman" w:hAnsi="Times New Roman"/>
          <w:b/>
          <w:color w:val="000000"/>
          <w:sz w:val="22"/>
        </w:rPr>
        <w:t>SPECIALTIES</w:t>
      </w:r>
      <w:r>
        <w:rPr>
          <w:rFonts w:ascii="Times New Roman" w:hAnsi="Times New Roman"/>
          <w:color w:val="000000"/>
          <w:sz w:val="22"/>
        </w:rPr>
        <w:t xml:space="preserve"> </w:t>
      </w:r>
      <w:r>
        <w:rPr>
          <w:rFonts w:ascii="Times New Roman" w:hAnsi="Times New Roman"/>
          <w:b/>
          <w:color w:val="000000"/>
          <w:sz w:val="22"/>
        </w:rPr>
        <w:t>UK</w:t>
      </w:r>
      <w:r>
        <w:rPr>
          <w:rFonts w:ascii="Times New Roman" w:hAnsi="Times New Roman"/>
          <w:color w:val="000000"/>
          <w:sz w:val="22"/>
        </w:rPr>
        <w:t xml:space="preserve"> </w:t>
      </w:r>
      <w:r>
        <w:rPr>
          <w:rFonts w:ascii="Times New Roman" w:hAnsi="Times New Roman"/>
          <w:b/>
          <w:color w:val="000000"/>
          <w:sz w:val="22"/>
        </w:rPr>
        <w:t>LIMITED</w:t>
      </w:r>
      <w:r>
        <w:rPr>
          <w:rFonts w:ascii="Times New Roman" w:hAnsi="Times New Roman"/>
          <w:color w:val="000000"/>
          <w:sz w:val="22"/>
        </w:rPr>
        <w:t xml:space="preserve"> as UK Originator and UK Sub-Servicer</w:t>
      </w:r>
    </w:p>
    <w:p>
      <w:pPr>
        <w:pStyle w:val="TextBody"/>
        <w:bidi w:val="0"/>
        <w:spacing w:before="240" w:after="283"/>
        <w:jc w:val="both"/>
        <w:rPr>
          <w:rFonts w:ascii="Times New Roman" w:hAnsi="Times New Roman"/>
          <w:sz w:val="22"/>
        </w:rPr>
      </w:pPr>
      <w:r>
        <w:rPr>
          <w:rFonts w:ascii="Times New Roman" w:hAnsi="Times New Roman"/>
          <w:color w:val="000000"/>
          <w:sz w:val="22"/>
        </w:rPr>
        <w:t xml:space="preserve">(10) </w:t>
      </w:r>
      <w:r>
        <w:rPr>
          <w:rFonts w:ascii="Times New Roman" w:hAnsi="Times New Roman"/>
          <w:b/>
          <w:color w:val="000000"/>
          <w:sz w:val="22"/>
        </w:rPr>
        <w:t>ASHLAND</w:t>
      </w:r>
      <w:r>
        <w:rPr>
          <w:rFonts w:ascii="Times New Roman" w:hAnsi="Times New Roman"/>
          <w:color w:val="000000"/>
          <w:sz w:val="22"/>
        </w:rPr>
        <w:t xml:space="preserve"> </w:t>
      </w:r>
      <w:r>
        <w:rPr>
          <w:rFonts w:ascii="Times New Roman" w:hAnsi="Times New Roman"/>
          <w:b/>
          <w:color w:val="000000"/>
          <w:sz w:val="22"/>
        </w:rPr>
        <w:t>SPECIALTIES</w:t>
      </w:r>
      <w:r>
        <w:rPr>
          <w:rFonts w:ascii="Times New Roman" w:hAnsi="Times New Roman"/>
          <w:color w:val="000000"/>
          <w:sz w:val="22"/>
        </w:rPr>
        <w:t xml:space="preserve"> </w:t>
      </w:r>
      <w:r>
        <w:rPr>
          <w:rFonts w:ascii="Times New Roman" w:hAnsi="Times New Roman"/>
          <w:b/>
          <w:color w:val="000000"/>
          <w:sz w:val="22"/>
        </w:rPr>
        <w:t>IRELAND</w:t>
      </w:r>
      <w:r>
        <w:rPr>
          <w:rFonts w:ascii="Times New Roman" w:hAnsi="Times New Roman"/>
          <w:color w:val="000000"/>
          <w:sz w:val="22"/>
        </w:rPr>
        <w:t xml:space="preserve"> </w:t>
      </w:r>
      <w:r>
        <w:rPr>
          <w:rFonts w:ascii="Times New Roman" w:hAnsi="Times New Roman"/>
          <w:b/>
          <w:color w:val="000000"/>
          <w:sz w:val="22"/>
        </w:rPr>
        <w:t xml:space="preserve">LIMITED </w:t>
      </w:r>
      <w:r>
        <w:rPr>
          <w:rFonts w:ascii="Times New Roman" w:hAnsi="Times New Roman"/>
          <w:color w:val="000000"/>
          <w:sz w:val="22"/>
        </w:rPr>
        <w:t>as Irish Originator, Servicer and Parent</w:t>
      </w:r>
    </w:p>
    <w:p>
      <w:pPr>
        <w:pStyle w:val="TextBody"/>
        <w:bidi w:val="0"/>
        <w:spacing w:before="240" w:after="283"/>
        <w:jc w:val="both"/>
        <w:rPr>
          <w:rFonts w:ascii="Times New Roman" w:hAnsi="Times New Roman"/>
          <w:sz w:val="22"/>
        </w:rPr>
      </w:pPr>
      <w:r>
        <w:rPr>
          <w:rFonts w:ascii="Times New Roman" w:hAnsi="Times New Roman"/>
          <w:color w:val="000000"/>
          <w:sz w:val="22"/>
        </w:rPr>
        <w:t xml:space="preserve">(11) </w:t>
      </w:r>
      <w:r>
        <w:rPr>
          <w:rFonts w:ascii="Times New Roman" w:hAnsi="Times New Roman"/>
          <w:b/>
          <w:color w:val="000000"/>
          <w:sz w:val="22"/>
        </w:rPr>
        <w:t>BANK</w:t>
      </w:r>
      <w:r>
        <w:rPr>
          <w:rFonts w:ascii="Times New Roman" w:hAnsi="Times New Roman"/>
          <w:color w:val="000000"/>
          <w:sz w:val="22"/>
        </w:rPr>
        <w:t xml:space="preserve"> </w:t>
      </w:r>
      <w:r>
        <w:rPr>
          <w:rFonts w:ascii="Times New Roman" w:hAnsi="Times New Roman"/>
          <w:b/>
          <w:color w:val="000000"/>
          <w:sz w:val="22"/>
        </w:rPr>
        <w:t>OF</w:t>
      </w:r>
      <w:r>
        <w:rPr>
          <w:rFonts w:ascii="Times New Roman" w:hAnsi="Times New Roman"/>
          <w:color w:val="000000"/>
          <w:sz w:val="22"/>
        </w:rPr>
        <w:t xml:space="preserve"> </w:t>
      </w:r>
      <w:r>
        <w:rPr>
          <w:rFonts w:ascii="Times New Roman" w:hAnsi="Times New Roman"/>
          <w:b/>
          <w:color w:val="000000"/>
          <w:sz w:val="22"/>
        </w:rPr>
        <w:t>AMERICA,</w:t>
      </w:r>
      <w:r>
        <w:rPr>
          <w:rFonts w:ascii="Times New Roman" w:hAnsi="Times New Roman"/>
          <w:color w:val="000000"/>
          <w:sz w:val="22"/>
        </w:rPr>
        <w:t xml:space="preserve"> </w:t>
      </w:r>
      <w:r>
        <w:rPr>
          <w:rFonts w:ascii="Times New Roman" w:hAnsi="Times New Roman"/>
          <w:b/>
          <w:color w:val="000000"/>
          <w:sz w:val="22"/>
        </w:rPr>
        <w:t>N.A.</w:t>
      </w:r>
      <w:r>
        <w:rPr>
          <w:rFonts w:ascii="Times New Roman" w:hAnsi="Times New Roman"/>
          <w:color w:val="000000"/>
          <w:sz w:val="22"/>
        </w:rPr>
        <w:t xml:space="preserve"> as Administrative Agent and Structuring Agent</w:t>
      </w:r>
    </w:p>
    <w:p>
      <w:pPr>
        <w:pStyle w:val="TextBody"/>
        <w:bidi w:val="0"/>
        <w:spacing w:before="240" w:after="283"/>
        <w:jc w:val="both"/>
        <w:rPr>
          <w:rFonts w:ascii="Times New Roman" w:hAnsi="Times New Roman"/>
          <w:sz w:val="22"/>
        </w:rPr>
      </w:pPr>
      <w:r>
        <w:rPr>
          <w:rFonts w:ascii="Times New Roman" w:hAnsi="Times New Roman"/>
          <w:color w:val="000000"/>
          <w:sz w:val="22"/>
        </w:rPr>
        <w:t xml:space="preserve">(12) </w:t>
      </w:r>
      <w:r>
        <w:rPr>
          <w:rFonts w:ascii="Times New Roman" w:hAnsi="Times New Roman"/>
          <w:b/>
          <w:color w:val="000000"/>
          <w:sz w:val="22"/>
        </w:rPr>
        <w:t>BANK</w:t>
      </w:r>
      <w:r>
        <w:rPr>
          <w:rFonts w:ascii="Times New Roman" w:hAnsi="Times New Roman"/>
          <w:color w:val="000000"/>
          <w:sz w:val="22"/>
        </w:rPr>
        <w:t xml:space="preserve"> </w:t>
      </w:r>
      <w:r>
        <w:rPr>
          <w:rFonts w:ascii="Times New Roman" w:hAnsi="Times New Roman"/>
          <w:b/>
          <w:color w:val="000000"/>
          <w:sz w:val="22"/>
        </w:rPr>
        <w:t>OF</w:t>
      </w:r>
      <w:r>
        <w:rPr>
          <w:rFonts w:ascii="Times New Roman" w:hAnsi="Times New Roman"/>
          <w:color w:val="000000"/>
          <w:sz w:val="22"/>
        </w:rPr>
        <w:t xml:space="preserve"> </w:t>
      </w:r>
      <w:r>
        <w:rPr>
          <w:rFonts w:ascii="Times New Roman" w:hAnsi="Times New Roman"/>
          <w:b/>
          <w:color w:val="000000"/>
          <w:sz w:val="22"/>
        </w:rPr>
        <w:t>AMERICA</w:t>
      </w:r>
      <w:r>
        <w:rPr>
          <w:rFonts w:ascii="Times New Roman" w:hAnsi="Times New Roman"/>
          <w:color w:val="000000"/>
          <w:sz w:val="22"/>
        </w:rPr>
        <w:t xml:space="preserve"> </w:t>
      </w:r>
      <w:r>
        <w:rPr>
          <w:rFonts w:ascii="Times New Roman" w:hAnsi="Times New Roman"/>
          <w:b/>
          <w:color w:val="000000"/>
          <w:sz w:val="22"/>
        </w:rPr>
        <w:t>EUROPE</w:t>
      </w:r>
      <w:r>
        <w:rPr>
          <w:rFonts w:ascii="Times New Roman" w:hAnsi="Times New Roman"/>
          <w:color w:val="000000"/>
          <w:sz w:val="22"/>
        </w:rPr>
        <w:t xml:space="preserve"> </w:t>
      </w:r>
      <w:r>
        <w:rPr>
          <w:rFonts w:ascii="Times New Roman" w:hAnsi="Times New Roman"/>
          <w:b/>
          <w:color w:val="000000"/>
          <w:sz w:val="22"/>
        </w:rPr>
        <w:t>DESIGNATED ACTIVITY</w:t>
      </w:r>
      <w:r>
        <w:rPr>
          <w:rFonts w:ascii="Times New Roman" w:hAnsi="Times New Roman"/>
          <w:color w:val="000000"/>
          <w:sz w:val="22"/>
        </w:rPr>
        <w:t xml:space="preserve"> </w:t>
      </w:r>
      <w:r>
        <w:rPr>
          <w:rFonts w:ascii="Times New Roman" w:hAnsi="Times New Roman"/>
          <w:b/>
          <w:color w:val="000000"/>
          <w:sz w:val="22"/>
        </w:rPr>
        <w:t>COMPANY</w:t>
      </w:r>
      <w:r>
        <w:rPr>
          <w:rFonts w:ascii="Times New Roman" w:hAnsi="Times New Roman"/>
          <w:color w:val="000000"/>
          <w:sz w:val="22"/>
        </w:rPr>
        <w:t xml:space="preserve"> as Committed Purchaser</w:t>
      </w:r>
    </w:p>
    <w:p>
      <w:pPr>
        <w:pStyle w:val="TextBody"/>
        <w:bidi w:val="0"/>
        <w:spacing w:before="240" w:after="283"/>
        <w:jc w:val="both"/>
        <w:rPr>
          <w:rFonts w:ascii="Times New Roman" w:hAnsi="Times New Roman"/>
          <w:sz w:val="22"/>
        </w:rPr>
      </w:pPr>
      <w:r>
        <w:rPr>
          <w:rFonts w:ascii="Times New Roman" w:hAnsi="Times New Roman"/>
          <w:color w:val="000000"/>
          <w:sz w:val="22"/>
        </w:rPr>
        <w:t xml:space="preserve">(13) </w:t>
      </w:r>
      <w:r>
        <w:rPr>
          <w:rFonts w:ascii="Times New Roman" w:hAnsi="Times New Roman"/>
          <w:b/>
          <w:color w:val="000000"/>
          <w:sz w:val="22"/>
        </w:rPr>
        <w:t>ING</w:t>
      </w:r>
      <w:r>
        <w:rPr>
          <w:rFonts w:ascii="Times New Roman" w:hAnsi="Times New Roman"/>
          <w:color w:val="000000"/>
          <w:sz w:val="22"/>
        </w:rPr>
        <w:t xml:space="preserve"> </w:t>
      </w:r>
      <w:r>
        <w:rPr>
          <w:rFonts w:ascii="Times New Roman" w:hAnsi="Times New Roman"/>
          <w:b/>
          <w:color w:val="000000"/>
          <w:sz w:val="22"/>
        </w:rPr>
        <w:t>BELGIUM</w:t>
      </w:r>
      <w:r>
        <w:rPr>
          <w:rFonts w:ascii="Times New Roman" w:hAnsi="Times New Roman"/>
          <w:color w:val="000000"/>
          <w:sz w:val="22"/>
        </w:rPr>
        <w:t xml:space="preserve"> </w:t>
      </w:r>
      <w:r>
        <w:rPr>
          <w:rFonts w:ascii="Times New Roman" w:hAnsi="Times New Roman"/>
          <w:b/>
          <w:color w:val="000000"/>
          <w:sz w:val="22"/>
        </w:rPr>
        <w:t>SA/NV</w:t>
      </w:r>
      <w:r>
        <w:rPr>
          <w:rFonts w:ascii="Times New Roman" w:hAnsi="Times New Roman"/>
          <w:color w:val="000000"/>
          <w:sz w:val="22"/>
        </w:rPr>
        <w:t xml:space="preserve"> as ING Group Agent</w:t>
      </w:r>
    </w:p>
    <w:p>
      <w:pPr>
        <w:pStyle w:val="TextBody"/>
        <w:bidi w:val="0"/>
        <w:spacing w:before="240" w:after="283"/>
        <w:jc w:val="both"/>
        <w:rPr>
          <w:rFonts w:ascii="Times New Roman" w:hAnsi="Times New Roman"/>
          <w:sz w:val="22"/>
        </w:rPr>
      </w:pPr>
      <w:r>
        <w:rPr>
          <w:rFonts w:ascii="Times New Roman" w:hAnsi="Times New Roman"/>
          <w:color w:val="000000"/>
          <w:sz w:val="22"/>
        </w:rPr>
        <w:t xml:space="preserve">(14) </w:t>
      </w:r>
      <w:r>
        <w:rPr>
          <w:rFonts w:ascii="Times New Roman" w:hAnsi="Times New Roman"/>
          <w:b/>
          <w:color w:val="000000"/>
          <w:sz w:val="22"/>
        </w:rPr>
        <w:t>MONT</w:t>
      </w:r>
      <w:r>
        <w:rPr>
          <w:rFonts w:ascii="Times New Roman" w:hAnsi="Times New Roman"/>
          <w:color w:val="000000"/>
          <w:sz w:val="22"/>
        </w:rPr>
        <w:t xml:space="preserve"> </w:t>
      </w:r>
      <w:r>
        <w:rPr>
          <w:rFonts w:ascii="Times New Roman" w:hAnsi="Times New Roman"/>
          <w:b/>
          <w:color w:val="000000"/>
          <w:sz w:val="22"/>
        </w:rPr>
        <w:t>BLANC</w:t>
      </w:r>
      <w:r>
        <w:rPr>
          <w:rFonts w:ascii="Times New Roman" w:hAnsi="Times New Roman"/>
          <w:color w:val="000000"/>
          <w:sz w:val="22"/>
        </w:rPr>
        <w:t xml:space="preserve"> </w:t>
      </w:r>
      <w:r>
        <w:rPr>
          <w:rFonts w:ascii="Times New Roman" w:hAnsi="Times New Roman"/>
          <w:b/>
          <w:color w:val="000000"/>
          <w:sz w:val="22"/>
        </w:rPr>
        <w:t>CAPITAL</w:t>
      </w:r>
      <w:r>
        <w:rPr>
          <w:rFonts w:ascii="Times New Roman" w:hAnsi="Times New Roman"/>
          <w:color w:val="000000"/>
          <w:sz w:val="22"/>
        </w:rPr>
        <w:t xml:space="preserve"> </w:t>
      </w:r>
      <w:r>
        <w:rPr>
          <w:rFonts w:ascii="Times New Roman" w:hAnsi="Times New Roman"/>
          <w:b/>
          <w:color w:val="000000"/>
          <w:sz w:val="22"/>
        </w:rPr>
        <w:t>CORP</w:t>
      </w:r>
      <w:r>
        <w:rPr>
          <w:rFonts w:ascii="Times New Roman" w:hAnsi="Times New Roman"/>
          <w:color w:val="000000"/>
          <w:sz w:val="22"/>
        </w:rPr>
        <w:t xml:space="preserve"> as Committed Purchaser</w:t>
      </w:r>
    </w:p>
    <w:p>
      <w:pPr>
        <w:pStyle w:val="TextBody"/>
        <w:bidi w:val="0"/>
        <w:jc w:val="center"/>
        <w:rPr/>
      </w:pPr>
      <w:r>
        <w:rPr/>
        <w:t> </w:t>
      </w:r>
    </w:p>
    <w:p>
      <w:pPr>
        <w:pStyle w:val="TextBody"/>
        <w:bidi w:val="0"/>
        <w:jc w:val="center"/>
        <w:rPr/>
      </w:pPr>
      <w:r>
        <w:rPr/>
        <w:t> </w:t>
      </w:r>
    </w:p>
    <w:p>
      <w:pPr>
        <w:pStyle w:val="TextBody"/>
        <w:pBdr>
          <w:top w:val="single" w:sz="8" w:space="1" w:color="000000"/>
        </w:pBdr>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AMENDED AND RESTATED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MASTER FRAMEWORK AGREEMENT</w:t>
      </w:r>
    </w:p>
    <w:p>
      <w:pPr>
        <w:pStyle w:val="TextBody"/>
        <w:pBdr>
          <w:bottom w:val="single" w:sz="8" w:space="1" w:color="000000"/>
        </w:pBdr>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CONTENTS</w:t>
      </w:r>
    </w:p>
    <w:p>
      <w:pPr>
        <w:pStyle w:val="TextBody"/>
        <w:bidi w:val="0"/>
        <w:jc w:val="center"/>
        <w:rPr/>
      </w:pPr>
      <w:r>
        <w:rPr/>
        <w:t> </w:t>
      </w:r>
    </w:p>
    <w:tbl>
      <w:tblPr>
        <w:tblW w:w="2598" w:type="dxa"/>
        <w:jc w:val="left"/>
        <w:tblInd w:w="0" w:type="dxa"/>
        <w:tblLayout w:type="fixed"/>
        <w:tblCellMar>
          <w:top w:w="28" w:type="dxa"/>
          <w:left w:w="28" w:type="dxa"/>
          <w:bottom w:w="28" w:type="dxa"/>
          <w:right w:w="28" w:type="dxa"/>
        </w:tblCellMar>
      </w:tblPr>
      <w:tblGrid>
        <w:gridCol w:w="301"/>
        <w:gridCol w:w="1651"/>
        <w:gridCol w:w="646"/>
      </w:tblGrid>
      <w:tr>
        <w:trPr/>
        <w:tc>
          <w:tcPr>
            <w:tcW w:w="30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95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Clause</w:t>
            </w:r>
          </w:p>
        </w:tc>
        <w:tc>
          <w:tcPr>
            <w:tcW w:w="646" w:type="dxa"/>
            <w:tcBorders/>
            <w:tcMar>
              <w:top w:w="0" w:type="dxa"/>
              <w:left w:w="0" w:type="dxa"/>
              <w:bottom w:w="0" w:type="dxa"/>
              <w:right w:w="0" w:type="dxa"/>
            </w:tcMar>
            <w:vAlign w:val="center"/>
          </w:tcPr>
          <w:p>
            <w:pPr>
              <w:pStyle w:val="Heading2"/>
              <w:bidi w:val="0"/>
              <w:spacing w:before="200" w:after="120"/>
              <w:jc w:val="right"/>
              <w:rPr>
                <w:rFonts w:ascii="Times New Roman" w:hAnsi="Times New Roman"/>
                <w:color w:val="000000"/>
                <w:sz w:val="24"/>
              </w:rPr>
            </w:pPr>
            <w:r>
              <w:rPr>
                <w:rFonts w:ascii="Times New Roman" w:hAnsi="Times New Roman"/>
                <w:color w:val="000000"/>
                <w:sz w:val="24"/>
              </w:rPr>
              <w:t>Page</w:t>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w:t>
            </w:r>
          </w:p>
        </w:tc>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Interpretation</w:t>
            </w:r>
          </w:p>
        </w:tc>
        <w:tc>
          <w:tcPr>
            <w:tcW w:w="6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w:t>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w:t>
            </w:r>
          </w:p>
        </w:tc>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Common Terms</w:t>
            </w:r>
          </w:p>
        </w:tc>
        <w:tc>
          <w:tcPr>
            <w:tcW w:w="6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w:t>
            </w:r>
          </w:p>
        </w:tc>
      </w:tr>
    </w:tbl>
    <w:p>
      <w:pPr>
        <w:pStyle w:val="Heading2"/>
        <w:bidi w:val="0"/>
        <w:spacing w:before="360" w:after="283"/>
        <w:jc w:val="left"/>
        <w:rPr/>
      </w:pPr>
      <w:r>
        <w:rPr/>
        <w:t> </w:t>
      </w:r>
    </w:p>
    <w:tbl>
      <w:tblPr>
        <w:tblW w:w="8644" w:type="dxa"/>
        <w:jc w:val="left"/>
        <w:tblInd w:w="0" w:type="dxa"/>
        <w:tblLayout w:type="fixed"/>
        <w:tblCellMar>
          <w:top w:w="28" w:type="dxa"/>
          <w:left w:w="28" w:type="dxa"/>
          <w:bottom w:w="28" w:type="dxa"/>
          <w:right w:w="28" w:type="dxa"/>
        </w:tblCellMar>
      </w:tblPr>
      <w:tblGrid>
        <w:gridCol w:w="301"/>
        <w:gridCol w:w="661"/>
        <w:gridCol w:w="7171"/>
        <w:gridCol w:w="511"/>
      </w:tblGrid>
      <w:tr>
        <w:trPr/>
        <w:tc>
          <w:tcPr>
            <w:tcW w:w="30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17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133" w:type="dxa"/>
            <w:gridSpan w:val="3"/>
            <w:tcBorders/>
            <w:tcMar>
              <w:top w:w="0" w:type="dxa"/>
              <w:left w:w="0" w:type="dxa"/>
              <w:bottom w:w="0" w:type="dxa"/>
              <w:right w:w="0" w:type="dxa"/>
            </w:tcMar>
            <w:vAlign w:val="center"/>
          </w:tcPr>
          <w:p>
            <w:pPr>
              <w:pStyle w:val="Heading2"/>
              <w:bidi w:val="0"/>
              <w:spacing w:before="200" w:after="120"/>
              <w:jc w:val="left"/>
              <w:rPr>
                <w:rFonts w:ascii="Times New Roman" w:hAnsi="Times New Roman"/>
                <w:color w:val="000000"/>
                <w:sz w:val="24"/>
              </w:rPr>
            </w:pPr>
            <w:r>
              <w:rPr>
                <w:rFonts w:ascii="Times New Roman" w:hAnsi="Times New Roman"/>
                <w:color w:val="000000"/>
                <w:sz w:val="24"/>
              </w:rPr>
              <w:t>Schedules</w:t>
            </w:r>
          </w:p>
        </w:tc>
        <w:tc>
          <w:tcPr>
            <w:tcW w:w="511" w:type="dxa"/>
            <w:tcBorders/>
            <w:tcMar>
              <w:top w:w="0" w:type="dxa"/>
              <w:left w:w="0" w:type="dxa"/>
              <w:bottom w:w="0" w:type="dxa"/>
              <w:right w:w="0" w:type="dxa"/>
            </w:tcMar>
            <w:vAlign w:val="center"/>
          </w:tcPr>
          <w:p>
            <w:pPr>
              <w:pStyle w:val="Heading2"/>
              <w:bidi w:val="0"/>
              <w:spacing w:before="200" w:after="120"/>
              <w:jc w:val="left"/>
              <w:rPr/>
            </w:pPr>
            <w:r>
              <w:rPr/>
              <w:t> </w:t>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w:t>
            </w:r>
          </w:p>
        </w:tc>
        <w:tc>
          <w:tcPr>
            <w:tcW w:w="78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Master Definitions Schedule</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w:t>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w:t>
            </w:r>
          </w:p>
        </w:tc>
        <w:tc>
          <w:tcPr>
            <w:tcW w:w="78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Common Terms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55</w:t>
            </w:r>
          </w:p>
        </w:tc>
      </w:tr>
      <w:tr>
        <w:trPr/>
        <w:tc>
          <w:tcPr>
            <w:tcW w:w="301"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 1</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General Legal Terms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55</w:t>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w:t>
            </w:r>
          </w:p>
        </w:tc>
        <w:tc>
          <w:tcPr>
            <w:tcW w:w="78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Representations and Warranties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63</w:t>
            </w:r>
          </w:p>
        </w:tc>
      </w:tr>
      <w:tr>
        <w:trPr/>
        <w:tc>
          <w:tcPr>
            <w:tcW w:w="301"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 1</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Representations and Warranties of the Seller</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63</w:t>
            </w:r>
          </w:p>
        </w:tc>
      </w:tr>
      <w:tr>
        <w:trPr/>
        <w:tc>
          <w:tcPr>
            <w:tcW w:w="301"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 2</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Representations and Warranties of the Servicer and Ashland Sub-Servicers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72</w:t>
            </w:r>
          </w:p>
        </w:tc>
      </w:tr>
      <w:tr>
        <w:trPr/>
        <w:tc>
          <w:tcPr>
            <w:tcW w:w="301"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 3</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Representations and Warranties of the Performance Guarantor</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78</w:t>
            </w:r>
          </w:p>
        </w:tc>
      </w:tr>
      <w:tr>
        <w:trPr/>
        <w:tc>
          <w:tcPr>
            <w:tcW w:w="301"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 4</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Representations and Warranties of the Originators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81</w:t>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4.</w:t>
            </w:r>
          </w:p>
        </w:tc>
        <w:tc>
          <w:tcPr>
            <w:tcW w:w="78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Covenants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90</w:t>
            </w:r>
          </w:p>
        </w:tc>
      </w:tr>
      <w:tr>
        <w:trPr/>
        <w:tc>
          <w:tcPr>
            <w:tcW w:w="301"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 1</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Covenants of the Seller</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90</w:t>
            </w:r>
          </w:p>
        </w:tc>
      </w:tr>
      <w:tr>
        <w:trPr/>
        <w:tc>
          <w:tcPr>
            <w:tcW w:w="301"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 2</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Covenants of the Servicer and the Ashland Sub-Servicers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100</w:t>
            </w:r>
          </w:p>
        </w:tc>
      </w:tr>
      <w:tr>
        <w:trPr/>
        <w:tc>
          <w:tcPr>
            <w:tcW w:w="301"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 3</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Covenants of the Performance Guarantor</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107</w:t>
            </w:r>
          </w:p>
        </w:tc>
      </w:tr>
      <w:tr>
        <w:trPr/>
        <w:tc>
          <w:tcPr>
            <w:tcW w:w="301"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 4</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Covenants of the Originators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109</w:t>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5.</w:t>
            </w:r>
          </w:p>
        </w:tc>
        <w:tc>
          <w:tcPr>
            <w:tcW w:w="78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Indemnities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115</w:t>
            </w:r>
          </w:p>
        </w:tc>
      </w:tr>
      <w:tr>
        <w:trPr/>
        <w:tc>
          <w:tcPr>
            <w:tcW w:w="301"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 1</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Indemnification by the Seller</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115</w:t>
            </w:r>
          </w:p>
        </w:tc>
      </w:tr>
      <w:tr>
        <w:trPr/>
        <w:tc>
          <w:tcPr>
            <w:tcW w:w="301"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 2</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Indemnification by the Servicer and the Ashland Sub-Servicers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118</w:t>
            </w:r>
          </w:p>
        </w:tc>
      </w:tr>
      <w:tr>
        <w:trPr/>
        <w:tc>
          <w:tcPr>
            <w:tcW w:w="301"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 3</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Indemnification by the Performance Guarantor</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122</w:t>
            </w:r>
          </w:p>
        </w:tc>
      </w:tr>
      <w:tr>
        <w:trPr/>
        <w:tc>
          <w:tcPr>
            <w:tcW w:w="301"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 4</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Indemnification by the Originators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124</w:t>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6.</w:t>
            </w:r>
          </w:p>
        </w:tc>
        <w:tc>
          <w:tcPr>
            <w:tcW w:w="78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 Details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129</w:t>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7.</w:t>
            </w:r>
          </w:p>
        </w:tc>
        <w:tc>
          <w:tcPr>
            <w:tcW w:w="78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Bail In Recognition Provisions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132</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AMENDED AND RESTATED MASTER FRAMEWORK AGREEMENT (this</w:t>
      </w:r>
    </w:p>
    <w:p>
      <w:pPr>
        <w:pStyle w:val="TextBody"/>
        <w:bidi w:val="0"/>
        <w:jc w:val="left"/>
        <w:rPr/>
      </w:pPr>
      <w:r>
        <w:rPr>
          <w:color w:val="000000"/>
        </w:rPr>
        <w:t>“</w:t>
      </w:r>
      <w:r>
        <w:rPr>
          <w:rFonts w:ascii="Times New Roman" w:hAnsi="Times New Roman"/>
          <w:color w:val="000000"/>
          <w:sz w:val="24"/>
          <w:u w:val="single"/>
        </w:rPr>
        <w:t>Agreement</w:t>
      </w:r>
      <w:r>
        <w:rPr>
          <w:rFonts w:ascii="Times New Roman" w:hAnsi="Times New Roman"/>
          <w:color w:val="000000"/>
          <w:sz w:val="24"/>
        </w:rPr>
        <w:t>”) was made on 19 October 2023 and is amended and restated on 24 September 2026 by and among the following parties:</w:t>
      </w:r>
    </w:p>
    <w:p>
      <w:pPr>
        <w:pStyle w:val="TextBody"/>
        <w:bidi w:val="0"/>
        <w:spacing w:before="240" w:after="283"/>
        <w:jc w:val="both"/>
        <w:rPr>
          <w:rFonts w:ascii="Times New Roman" w:hAnsi="Times New Roman"/>
          <w:sz w:val="24"/>
        </w:rPr>
      </w:pPr>
      <w:r>
        <w:rPr>
          <w:rFonts w:ascii="Times New Roman" w:hAnsi="Times New Roman"/>
          <w:color w:val="000000"/>
          <w:sz w:val="24"/>
        </w:rPr>
        <w:t>(i) ASHLAND INTERNATIONAL RECEIVABLES DESIGNATED ACTIVITY COMPANY, a designated activity company incorporated in Ireland with company number 745736, whose registered office is at Ground Floor, Two Dockland Central, Guild Street, North Dock, Dublin 1, D01 K2C5, Ireland, as Seller (together with its successors and assigns, the “</w:t>
      </w:r>
      <w:r>
        <w:rPr>
          <w:rFonts w:ascii="Times New Roman" w:hAnsi="Times New Roman"/>
          <w:color w:val="000000"/>
          <w:sz w:val="24"/>
          <w:u w:val="single"/>
        </w:rPr>
        <w:t>Seller</w:t>
      </w:r>
      <w:r>
        <w:rPr>
          <w:rFonts w:ascii="Times New Roman" w:hAnsi="Times New Roman"/>
          <w:color w:val="000000"/>
          <w:sz w:val="24"/>
        </w:rPr>
        <w:t>”);</w:t>
      </w:r>
    </w:p>
    <w:p>
      <w:pPr>
        <w:pStyle w:val="TextBody"/>
        <w:bidi w:val="0"/>
        <w:spacing w:before="240" w:after="283"/>
        <w:jc w:val="left"/>
        <w:rPr>
          <w:rFonts w:ascii="Times New Roman" w:hAnsi="Times New Roman"/>
          <w:sz w:val="24"/>
        </w:rPr>
      </w:pPr>
      <w:r>
        <w:rPr>
          <w:rFonts w:ascii="Times New Roman" w:hAnsi="Times New Roman"/>
          <w:color w:val="000000"/>
          <w:sz w:val="24"/>
        </w:rPr>
        <w:t>(ii) ASHLAND INC. as Performance Guarantor (“</w:t>
      </w:r>
      <w:r>
        <w:rPr>
          <w:rFonts w:ascii="Times New Roman" w:hAnsi="Times New Roman"/>
          <w:color w:val="000000"/>
          <w:sz w:val="24"/>
          <w:u w:val="single"/>
        </w:rPr>
        <w:t>Ashland</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ASHLAND INDUSTRIES FRANCE SAS as French Originator and French Sub-Servicer;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(iv) ASHLAND INDUSTRIES DEUTSCHLAND GMBH as German Originator, German Sub-Servicer and Subordinated Lender;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 ASHLAND INDUSTRIES ITALIA S.R.L as Italian Originator and Italian Sub-Servicer;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(vi) ASHLAND SPECIALTY CHEMICAL (SINGAPORE) PTE. LTD as Singaporean Originator and Singaporean Sub-Servicer;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(vii) ASHLAND SPECIALTIES HISPANIA, S.L.U. as Spanish Originator and Spanish Sub-Servicer;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(viii) ASHLAND INDUSTRIES EUROPE GMBH as Swiss Originator and Swiss Sub-Servicer;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(ix) ASHLAND SPECIALTIES UK LIMITED as UK Originator and UK Sub-Servicer;</w:t>
      </w:r>
    </w:p>
    <w:p>
      <w:pPr>
        <w:pStyle w:val="TextBody"/>
        <w:bidi w:val="0"/>
        <w:spacing w:before="240" w:after="283"/>
        <w:jc w:val="both"/>
        <w:rPr>
          <w:rFonts w:ascii="Times New Roman" w:hAnsi="Times New Roman"/>
          <w:sz w:val="24"/>
        </w:rPr>
      </w:pPr>
      <w:r>
        <w:rPr>
          <w:rFonts w:ascii="Times New Roman" w:hAnsi="Times New Roman"/>
          <w:color w:val="000000"/>
          <w:sz w:val="24"/>
        </w:rPr>
        <w:t>(x) ASHLAND SPECIALTIES IRELAND LIMITED as initial Servicer (in such capacity, together with its successors and assigns in such capacity, the “</w:t>
      </w:r>
      <w:r>
        <w:rPr>
          <w:rFonts w:ascii="Times New Roman" w:hAnsi="Times New Roman"/>
          <w:color w:val="000000"/>
          <w:sz w:val="24"/>
          <w:u w:val="single"/>
        </w:rPr>
        <w:t>Servicer</w:t>
      </w:r>
      <w:r>
        <w:rPr>
          <w:rFonts w:ascii="Times New Roman" w:hAnsi="Times New Roman"/>
          <w:color w:val="000000"/>
          <w:sz w:val="24"/>
        </w:rPr>
        <w:t>”) Irish Originator and Parent;</w:t>
      </w:r>
    </w:p>
    <w:p>
      <w:pPr>
        <w:pStyle w:val="TextBody"/>
        <w:bidi w:val="0"/>
        <w:spacing w:before="240" w:after="283"/>
        <w:jc w:val="both"/>
        <w:rPr>
          <w:rFonts w:ascii="Times New Roman" w:hAnsi="Times New Roman"/>
          <w:sz w:val="24"/>
        </w:rPr>
      </w:pPr>
      <w:r>
        <w:rPr>
          <w:rFonts w:ascii="Times New Roman" w:hAnsi="Times New Roman"/>
          <w:color w:val="000000"/>
          <w:sz w:val="24"/>
        </w:rPr>
        <w:t>(xi) BANK OF AMERICA, N.A. (“</w:t>
      </w:r>
      <w:r>
        <w:rPr>
          <w:rFonts w:ascii="Times New Roman" w:hAnsi="Times New Roman"/>
          <w:color w:val="000000"/>
          <w:sz w:val="24"/>
          <w:u w:val="single"/>
        </w:rPr>
        <w:t>Bank of America</w:t>
      </w:r>
      <w:r>
        <w:rPr>
          <w:rFonts w:ascii="Times New Roman" w:hAnsi="Times New Roman"/>
          <w:color w:val="000000"/>
          <w:sz w:val="24"/>
        </w:rPr>
        <w:t>”), as Administrative Agent and Structuring Agent.</w:t>
      </w:r>
    </w:p>
    <w:p>
      <w:pPr>
        <w:pStyle w:val="TextBody"/>
        <w:bidi w:val="0"/>
        <w:spacing w:before="240" w:after="283"/>
        <w:jc w:val="both"/>
        <w:rPr>
          <w:rFonts w:ascii="Times New Roman" w:hAnsi="Times New Roman"/>
          <w:sz w:val="24"/>
        </w:rPr>
      </w:pPr>
      <w:r>
        <w:rPr>
          <w:rFonts w:ascii="Times New Roman" w:hAnsi="Times New Roman"/>
          <w:color w:val="000000"/>
          <w:sz w:val="24"/>
        </w:rPr>
        <w:t>(xii) BANK OF AMERICA EUROPE DAC, as Committed Purchaser (“</w:t>
      </w:r>
      <w:r>
        <w:rPr>
          <w:rFonts w:ascii="Times New Roman" w:hAnsi="Times New Roman"/>
          <w:color w:val="000000"/>
          <w:sz w:val="24"/>
          <w:u w:val="single"/>
        </w:rPr>
        <w:t>Bank of America Europe</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(xiii) ING BELGIUM SA/NV as ING Group Agent; and</w:t>
      </w:r>
    </w:p>
    <w:p>
      <w:pPr>
        <w:pStyle w:val="TextBody"/>
        <w:bidi w:val="0"/>
        <w:spacing w:before="240" w:after="283"/>
        <w:jc w:val="left"/>
        <w:rPr>
          <w:rFonts w:ascii="Times New Roman" w:hAnsi="Times New Roman"/>
          <w:sz w:val="24"/>
        </w:rPr>
      </w:pPr>
      <w:r>
        <w:rPr>
          <w:rFonts w:ascii="Times New Roman" w:hAnsi="Times New Roman"/>
          <w:color w:val="000000"/>
          <w:sz w:val="24"/>
        </w:rPr>
        <w:t>(xiv) MONT BLANC CAPITAL CORP as Committed Purchaser, (each a "</w:t>
      </w:r>
      <w:r>
        <w:rPr>
          <w:rFonts w:ascii="Times New Roman" w:hAnsi="Times New Roman"/>
          <w:color w:val="000000"/>
          <w:sz w:val="24"/>
          <w:u w:val="single"/>
        </w:rPr>
        <w:t>Party</w:t>
      </w:r>
      <w:r>
        <w:rPr>
          <w:rFonts w:ascii="Times New Roman" w:hAnsi="Times New Roman"/>
          <w:color w:val="000000"/>
          <w:sz w:val="24"/>
        </w:rPr>
        <w:t>", and together the "</w:t>
      </w:r>
      <w:r>
        <w:rPr>
          <w:rFonts w:ascii="Times New Roman" w:hAnsi="Times New Roman"/>
          <w:color w:val="000000"/>
          <w:sz w:val="24"/>
          <w:u w:val="single"/>
        </w:rPr>
        <w:t>Parties</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left"/>
        <w:rPr>
          <w:rFonts w:ascii="Times New Roman" w:hAnsi="Times New Roman"/>
          <w:color w:val="000000"/>
          <w:sz w:val="24"/>
        </w:rPr>
      </w:pPr>
      <w:r>
        <w:rPr>
          <w:rFonts w:ascii="Times New Roman" w:hAnsi="Times New Roman"/>
          <w:color w:val="000000"/>
          <w:sz w:val="24"/>
        </w:rPr>
        <w:t>INTRODUCTION: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Seller has acquired, and will acquire from time to time, Receivables from the Originator(s) pursuant to the Purchase and Sale Agreements. The Seller desires to sell certain of the Receivables to the Purchasers pursuant to the Receivables Purchase Agreement. The Seller is a special purpose company wholly owned by the Parent whose primary activities are restricted in its constitution.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sz w:val="24"/>
        </w:rPr>
      </w:pPr>
      <w:r>
        <w:rPr>
          <w:rFonts w:ascii="Times New Roman" w:hAnsi="Times New Roman"/>
          <w:color w:val="000000"/>
          <w:sz w:val="24"/>
        </w:rPr>
        <w:t>The Parties have agreed to enter into the Transaction Documents, pursuant to which the Master Definitions Schedule as set out in Schedule 1 (</w:t>
      </w:r>
      <w:r>
        <w:rPr>
          <w:rFonts w:ascii="Times New Roman" w:hAnsi="Times New Roman"/>
          <w:i/>
          <w:color w:val="000000"/>
          <w:sz w:val="24"/>
        </w:rPr>
        <w:t>Master Definitions Schedule</w:t>
      </w:r>
      <w:r>
        <w:rPr>
          <w:rFonts w:ascii="Times New Roman" w:hAnsi="Times New Roman"/>
          <w:color w:val="000000"/>
          <w:sz w:val="24"/>
        </w:rPr>
        <w:t>) to this Master Framework Agreement, the Common Terms and other provisions set out in this Master Framework Agreement shall apply to and be incorporated into all or some of the Transaction Documents, as set out in each of such Transaction Documents, as provided in this Master Framework Agreement.</w:t>
      </w:r>
    </w:p>
    <w:p>
      <w:pPr>
        <w:pStyle w:val="Heading1"/>
        <w:bidi w:val="0"/>
        <w:spacing w:before="240" w:after="283"/>
        <w:jc w:val="left"/>
        <w:rPr>
          <w:rFonts w:ascii="Times New Roman" w:hAnsi="Times New Roman"/>
          <w:color w:val="000000"/>
          <w:sz w:val="24"/>
        </w:rPr>
      </w:pPr>
      <w:r>
        <w:rPr>
          <w:rFonts w:ascii="Times New Roman" w:hAnsi="Times New Roman"/>
          <w:color w:val="000000"/>
          <w:sz w:val="24"/>
        </w:rPr>
        <w:t>THE PARTIES AGREE AS FOLLOWS: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1. </w:t>
      </w:r>
      <w:r>
        <w:rPr>
          <w:rFonts w:ascii="Times New Roman" w:hAnsi="Times New Roman"/>
          <w:color w:val="000000"/>
          <w:sz w:val="24"/>
          <w:u w:val="single"/>
        </w:rPr>
        <w:t>Interpretation</w:t>
      </w:r>
    </w:p>
    <w:p>
      <w:pPr>
        <w:pStyle w:val="TextBody"/>
        <w:bidi w:val="0"/>
        <w:spacing w:before="240" w:after="283"/>
        <w:jc w:val="both"/>
        <w:rPr>
          <w:rFonts w:ascii="Times New Roman" w:hAnsi="Times New Roman"/>
          <w:sz w:val="24"/>
        </w:rPr>
      </w:pPr>
      <w:r>
        <w:rPr>
          <w:rFonts w:ascii="Times New Roman" w:hAnsi="Times New Roman"/>
          <w:color w:val="000000"/>
          <w:sz w:val="24"/>
        </w:rPr>
        <w:t>(a) Unless otherwise defined herein or the context requires otherwise, words and expressions used in this Master Framework Agreement have the meanings and constructions ascribed to them in the Master Definitions Schedule as set out in Schedule 1 (</w:t>
      </w:r>
      <w:r>
        <w:rPr>
          <w:rFonts w:ascii="Times New Roman" w:hAnsi="Times New Roman"/>
          <w:i/>
          <w:color w:val="000000"/>
          <w:sz w:val="24"/>
        </w:rPr>
        <w:t>Master Definitions Schedule</w:t>
      </w:r>
      <w:r>
        <w:rPr>
          <w:rFonts w:ascii="Times New Roman" w:hAnsi="Times New Roman"/>
          <w:color w:val="000000"/>
          <w:sz w:val="24"/>
        </w:rPr>
        <w:t>) to this Master Framework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Subject to clause 1(c) below, where any person which is a party to a Transaction Document acts in more than one capacity, the provisions of this Master Framework Agreement shall apply to such person as though it were a separate party in each such capacity except insofar as they may require such person in one capacity to give any notice or information to itself in another capacity.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The agreements, representations and warranties contained in this Master Framework Agreement made or given by any party to this Master Framework Agreement in an express capacity under a Transaction Document shall be deemed to be the agreements, representations and warranties of that party solely in such capacity for so long as that party continues to act in each such capacity under that Transaction Document (as applicable).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2. </w:t>
      </w:r>
      <w:r>
        <w:rPr>
          <w:rFonts w:ascii="Times New Roman" w:hAnsi="Times New Roman"/>
          <w:color w:val="000000"/>
          <w:sz w:val="24"/>
          <w:u w:val="single"/>
        </w:rPr>
        <w:t>Common Terms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The Common Terms shall apply to this Master Framework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If a provision of any Transaction Document (not including a provision relating to VAT) is inconsistent with a provision in this Master Framework Agreement, the provisions of the Transaction Document (as applicable) shall prevail. If a provision relating to VAT of any Transaction Document is inconsistent with a provision of this Master Framework Agreement, the provisions of this Master Framework Agreement shall prevail.</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This Master Framework Agreement has been executed by the Parties.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3. </w:t>
      </w:r>
      <w:r>
        <w:rPr>
          <w:rFonts w:ascii="Times New Roman" w:hAnsi="Times New Roman"/>
          <w:color w:val="000000"/>
          <w:sz w:val="24"/>
          <w:u w:val="single"/>
        </w:rPr>
        <w:t>Italian Transparency Provisions</w:t>
      </w:r>
    </w:p>
    <w:p>
      <w:pPr>
        <w:pStyle w:val="TextBody"/>
        <w:bidi w:val="0"/>
        <w:spacing w:before="240" w:after="283"/>
        <w:jc w:val="both"/>
        <w:rPr>
          <w:rFonts w:ascii="Times New Roman" w:hAnsi="Times New Roman"/>
          <w:sz w:val="24"/>
        </w:rPr>
      </w:pPr>
      <w:r>
        <w:rPr>
          <w:rFonts w:ascii="Times New Roman" w:hAnsi="Times New Roman"/>
          <w:color w:val="000000"/>
          <w:sz w:val="24"/>
        </w:rPr>
        <w:t>For the purposes of the transparency provisions set forth in the CICR Resolution of 4 March 2003, as amended from time to time, and in the “</w:t>
      </w:r>
      <w:r>
        <w:rPr>
          <w:rFonts w:ascii="Times New Roman" w:hAnsi="Times New Roman"/>
          <w:i/>
          <w:color w:val="000000"/>
          <w:sz w:val="24"/>
        </w:rPr>
        <w:t>Disposizioni sulla trasparenza</w:t>
      </w:r>
      <w:r>
        <w:rPr>
          <w:rFonts w:ascii="Times New Roman" w:hAnsi="Times New Roman"/>
          <w:color w:val="000000"/>
          <w:sz w:val="24"/>
        </w:rPr>
        <w:t xml:space="preserve"> </w:t>
      </w:r>
      <w:r>
        <w:rPr>
          <w:rFonts w:ascii="Times New Roman" w:hAnsi="Times New Roman"/>
          <w:i/>
          <w:color w:val="000000"/>
          <w:sz w:val="24"/>
        </w:rPr>
        <w:t>delle</w:t>
      </w:r>
      <w:r>
        <w:rPr>
          <w:rFonts w:ascii="Times New Roman" w:hAnsi="Times New Roman"/>
          <w:color w:val="000000"/>
          <w:sz w:val="24"/>
        </w:rPr>
        <w:t xml:space="preserve"> </w:t>
      </w:r>
      <w:r>
        <w:rPr>
          <w:rFonts w:ascii="Times New Roman" w:hAnsi="Times New Roman"/>
          <w:i/>
          <w:color w:val="000000"/>
          <w:sz w:val="24"/>
        </w:rPr>
        <w:t>operazioni</w:t>
      </w:r>
      <w:r>
        <w:rPr>
          <w:rFonts w:ascii="Times New Roman" w:hAnsi="Times New Roman"/>
          <w:color w:val="000000"/>
          <w:sz w:val="24"/>
        </w:rPr>
        <w:t xml:space="preserve"> </w:t>
      </w:r>
      <w:r>
        <w:rPr>
          <w:rFonts w:ascii="Times New Roman" w:hAnsi="Times New Roman"/>
          <w:i/>
          <w:color w:val="000000"/>
          <w:sz w:val="24"/>
        </w:rPr>
        <w:t>e</w:t>
      </w:r>
      <w:r>
        <w:rPr>
          <w:rFonts w:ascii="Times New Roman" w:hAnsi="Times New Roman"/>
          <w:color w:val="000000"/>
          <w:sz w:val="24"/>
        </w:rPr>
        <w:t xml:space="preserve"> </w:t>
      </w:r>
      <w:r>
        <w:rPr>
          <w:rFonts w:ascii="Times New Roman" w:hAnsi="Times New Roman"/>
          <w:i/>
          <w:color w:val="000000"/>
          <w:sz w:val="24"/>
        </w:rPr>
        <w:t>dei</w:t>
      </w:r>
      <w:r>
        <w:rPr>
          <w:rFonts w:ascii="Times New Roman" w:hAnsi="Times New Roman"/>
          <w:color w:val="000000"/>
          <w:sz w:val="24"/>
        </w:rPr>
        <w:t xml:space="preserve"> </w:t>
      </w:r>
      <w:r>
        <w:rPr>
          <w:rFonts w:ascii="Times New Roman" w:hAnsi="Times New Roman"/>
          <w:i/>
          <w:color w:val="000000"/>
          <w:sz w:val="24"/>
        </w:rPr>
        <w:t>servizi</w:t>
      </w:r>
      <w:r>
        <w:rPr>
          <w:rFonts w:ascii="Times New Roman" w:hAnsi="Times New Roman"/>
          <w:color w:val="000000"/>
          <w:sz w:val="24"/>
        </w:rPr>
        <w:t xml:space="preserve"> </w:t>
      </w:r>
      <w:r>
        <w:rPr>
          <w:rFonts w:ascii="Times New Roman" w:hAnsi="Times New Roman"/>
          <w:i/>
          <w:color w:val="000000"/>
          <w:sz w:val="24"/>
        </w:rPr>
        <w:t>bancari</w:t>
      </w:r>
      <w:r>
        <w:rPr>
          <w:rFonts w:ascii="Times New Roman" w:hAnsi="Times New Roman"/>
          <w:color w:val="000000"/>
          <w:sz w:val="24"/>
        </w:rPr>
        <w:t xml:space="preserve"> </w:t>
      </w:r>
      <w:r>
        <w:rPr>
          <w:rFonts w:ascii="Times New Roman" w:hAnsi="Times New Roman"/>
          <w:i/>
          <w:color w:val="000000"/>
          <w:sz w:val="24"/>
        </w:rPr>
        <w:t>e</w:t>
      </w:r>
      <w:r>
        <w:rPr>
          <w:rFonts w:ascii="Times New Roman" w:hAnsi="Times New Roman"/>
          <w:color w:val="000000"/>
          <w:sz w:val="24"/>
        </w:rPr>
        <w:t xml:space="preserve"> </w:t>
      </w:r>
      <w:r>
        <w:rPr>
          <w:rFonts w:ascii="Times New Roman" w:hAnsi="Times New Roman"/>
          <w:i/>
          <w:color w:val="000000"/>
          <w:sz w:val="24"/>
        </w:rPr>
        <w:t>finanziari.</w:t>
      </w:r>
      <w:r>
        <w:rPr>
          <w:rFonts w:ascii="Times New Roman" w:hAnsi="Times New Roman"/>
          <w:color w:val="000000"/>
          <w:sz w:val="24"/>
        </w:rPr>
        <w:t xml:space="preserve"> </w:t>
      </w:r>
      <w:r>
        <w:rPr>
          <w:rFonts w:ascii="Times New Roman" w:hAnsi="Times New Roman"/>
          <w:i/>
          <w:color w:val="000000"/>
          <w:sz w:val="24"/>
        </w:rPr>
        <w:t>Correttezza</w:t>
      </w:r>
      <w:r>
        <w:rPr>
          <w:rFonts w:ascii="Times New Roman" w:hAnsi="Times New Roman"/>
          <w:color w:val="000000"/>
          <w:sz w:val="24"/>
        </w:rPr>
        <w:t xml:space="preserve"> </w:t>
      </w:r>
      <w:r>
        <w:rPr>
          <w:rFonts w:ascii="Times New Roman" w:hAnsi="Times New Roman"/>
          <w:i/>
          <w:color w:val="000000"/>
          <w:sz w:val="24"/>
        </w:rPr>
        <w:t>delle</w:t>
      </w:r>
      <w:r>
        <w:rPr>
          <w:rFonts w:ascii="Times New Roman" w:hAnsi="Times New Roman"/>
          <w:color w:val="000000"/>
          <w:sz w:val="24"/>
        </w:rPr>
        <w:t xml:space="preserve"> </w:t>
      </w:r>
      <w:r>
        <w:rPr>
          <w:rFonts w:ascii="Times New Roman" w:hAnsi="Times New Roman"/>
          <w:i/>
          <w:color w:val="000000"/>
          <w:sz w:val="24"/>
        </w:rPr>
        <w:t>relazioni tra intermediari e client</w:t>
      </w:r>
      <w:r>
        <w:rPr>
          <w:rFonts w:ascii="Times New Roman" w:hAnsi="Times New Roman"/>
          <w:color w:val="000000"/>
          <w:sz w:val="24"/>
        </w:rPr>
        <w:t>” issued by the Bank of Italy and as amended from time to time, each Party hereby acknowledges and confirms that: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(a) it has appointed and has been assisted by its respective legal counsel in connection with the negotiation, preparation and execution of this Agreement; and</w:t>
      </w:r>
    </w:p>
    <w:p>
      <w:pPr>
        <w:pStyle w:val="TextBody"/>
        <w:bidi w:val="0"/>
        <w:spacing w:before="240" w:after="283"/>
        <w:jc w:val="both"/>
        <w:rPr>
          <w:rFonts w:ascii="Times New Roman" w:hAnsi="Times New Roman"/>
          <w:sz w:val="24"/>
        </w:rPr>
      </w:pPr>
      <w:r>
        <w:rPr>
          <w:rFonts w:ascii="Times New Roman" w:hAnsi="Times New Roman"/>
          <w:color w:val="000000"/>
          <w:sz w:val="24"/>
        </w:rPr>
        <w:t>(b) this Agreement and all of its terms and conditions, including the Schedules hereto, have been specifically negotiated (</w:t>
      </w:r>
      <w:r>
        <w:rPr>
          <w:rFonts w:ascii="Times New Roman" w:hAnsi="Times New Roman"/>
          <w:i/>
          <w:color w:val="000000"/>
          <w:sz w:val="24"/>
        </w:rPr>
        <w:t>oggetto di trattativa individuale</w:t>
      </w:r>
      <w:r>
        <w:rPr>
          <w:rFonts w:ascii="Times New Roman" w:hAnsi="Times New Roman"/>
          <w:color w:val="000000"/>
          <w:sz w:val="24"/>
        </w:rPr>
        <w:t>) between the Parties.</w:t>
      </w:r>
      <w:r>
        <w:rPr>
          <w:rFonts w:ascii="Times New Roman" w:hAnsi="Times New Roman"/>
          <w:b/>
          <w:color w:val="000000"/>
          <w:sz w:val="24"/>
        </w:rPr>
        <w:t xml:space="preserve">IN WITNESS WHEREOF </w:t>
      </w:r>
      <w:r>
        <w:rPr>
          <w:rFonts w:ascii="Times New Roman" w:hAnsi="Times New Roman"/>
          <w:color w:val="000000"/>
          <w:sz w:val="24"/>
        </w:rPr>
        <w:t>the parties hereto have executed this Master Framework Agreement on the day and year first before written.</w:t>
      </w:r>
    </w:p>
    <w:p>
      <w:pPr>
        <w:pStyle w:val="Heading1"/>
        <w:bidi w:val="0"/>
        <w:spacing w:before="240" w:after="283"/>
        <w:jc w:val="both"/>
        <w:rPr>
          <w:rFonts w:ascii="Times New Roman" w:hAnsi="Times New Roman"/>
          <w:color w:val="000000"/>
          <w:sz w:val="24"/>
        </w:rPr>
      </w:pPr>
      <w:r>
        <w:rPr>
          <w:rFonts w:ascii="Times New Roman" w:hAnsi="Times New Roman"/>
          <w:color w:val="000000"/>
          <w:sz w:val="24"/>
        </w:rPr>
        <w:t>EXECUTION: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parties have shown their acceptance of the terms of this Agreement by executing it as a deed after the Schedules.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4"/>
        </w:rPr>
      </w:pPr>
      <w:r>
        <w:rPr>
          <w:rFonts w:ascii="Times New Roman" w:hAnsi="Times New Roman"/>
          <w:color w:val="000000"/>
          <w:sz w:val="24"/>
        </w:rPr>
        <w:t>SCHEDULE 1</w:t>
      </w:r>
    </w:p>
    <w:p>
      <w:pPr>
        <w:pStyle w:val="TextBody"/>
        <w:bidi w:val="0"/>
        <w:jc w:val="center"/>
        <w:rPr>
          <w:rFonts w:ascii="Times New Roman" w:hAnsi="Times New Roman"/>
          <w:sz w:val="24"/>
        </w:rPr>
      </w:pPr>
      <w:r>
        <w:rPr>
          <w:rFonts w:ascii="Times New Roman" w:hAnsi="Times New Roman"/>
          <w:b/>
          <w:color w:val="000000"/>
          <w:sz w:val="24"/>
        </w:rPr>
        <w:t>MASTER</w:t>
      </w:r>
      <w:r>
        <w:rPr>
          <w:rFonts w:ascii="Times New Roman" w:hAnsi="Times New Roman"/>
          <w:color w:val="000000"/>
          <w:sz w:val="24"/>
        </w:rPr>
        <w:t xml:space="preserve"> </w:t>
      </w:r>
      <w:r>
        <w:rPr>
          <w:rFonts w:ascii="Times New Roman" w:hAnsi="Times New Roman"/>
          <w:b/>
          <w:color w:val="000000"/>
          <w:sz w:val="24"/>
        </w:rPr>
        <w:t>DEFINITIONS</w:t>
      </w:r>
      <w:r>
        <w:rPr>
          <w:rFonts w:ascii="Times New Roman" w:hAnsi="Times New Roman"/>
          <w:color w:val="000000"/>
          <w:sz w:val="24"/>
        </w:rPr>
        <w:t xml:space="preserve"> </w:t>
      </w:r>
      <w:r>
        <w:rPr>
          <w:rFonts w:ascii="Times New Roman" w:hAnsi="Times New Roman"/>
          <w:b/>
          <w:color w:val="000000"/>
          <w:sz w:val="24"/>
        </w:rPr>
        <w:t>SCHEDULE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Except where the context otherwise requires, the following defined terms used in the Transaction Documents, have the meanings set out below (as the same may be amended and supplemented from time to time):</w:t>
      </w:r>
    </w:p>
    <w:p>
      <w:pPr>
        <w:pStyle w:val="TextBody"/>
        <w:bidi w:val="0"/>
        <w:spacing w:before="240" w:after="283"/>
        <w:jc w:val="both"/>
        <w:rPr/>
      </w:pPr>
      <w:r>
        <w:rPr>
          <w:color w:val="000000"/>
        </w:rPr>
        <w:t>“</w:t>
      </w:r>
      <w:r>
        <w:rPr>
          <w:rFonts w:ascii="Times New Roman" w:hAnsi="Times New Roman"/>
          <w:color w:val="000000"/>
          <w:sz w:val="24"/>
          <w:u w:val="single"/>
        </w:rPr>
        <w:t>2026 Deemed Defaulted Receivable</w:t>
      </w:r>
      <w:r>
        <w:rPr>
          <w:rFonts w:ascii="Times New Roman" w:hAnsi="Times New Roman"/>
          <w:color w:val="000000"/>
          <w:sz w:val="24"/>
        </w:rPr>
        <w:t>” means a Receivable which is deemed to have become a Deemed Defaulted Receivable during the Fiscal Months ended 31 December 2025 and 31 January 2026.</w:t>
      </w:r>
    </w:p>
    <w:p>
      <w:pPr>
        <w:pStyle w:val="TextBody"/>
        <w:bidi w:val="0"/>
        <w:spacing w:before="240" w:after="283"/>
        <w:jc w:val="both"/>
        <w:rPr/>
      </w:pPr>
      <w:r>
        <w:rPr>
          <w:color w:val="000000"/>
        </w:rPr>
        <w:t>“</w:t>
      </w:r>
      <w:r>
        <w:rPr>
          <w:rFonts w:ascii="Times New Roman" w:hAnsi="Times New Roman"/>
          <w:color w:val="000000"/>
          <w:sz w:val="24"/>
          <w:u w:val="single"/>
        </w:rPr>
        <w:t>2026 Fee Letter</w:t>
      </w:r>
      <w:r>
        <w:rPr>
          <w:rFonts w:ascii="Times New Roman" w:hAnsi="Times New Roman"/>
          <w:color w:val="000000"/>
          <w:sz w:val="24"/>
        </w:rPr>
        <w:t xml:space="preserve">” means the amended and restated fee letter to the Seller from Bank of America, N.A. as Administrative Agent and Structuring Agent, Bank of America Europe DAC as Committed Purchaser ING Belgium SA/NV as Group Agent for ING Group and Mont Blanc Capital Corp as Committed Purchaser originally dated 12 March 2026 and as amended and restated on </w:t>
      </w:r>
      <w:r>
        <w:rPr>
          <w:rFonts w:ascii="Times New Roman" w:hAnsi="Times New Roman"/>
          <w:color w:val="000000"/>
          <w:sz w:val="24"/>
          <w:u w:val="single"/>
        </w:rPr>
        <w:t xml:space="preserve">24 September </w:t>
      </w:r>
      <w:r>
        <w:rPr>
          <w:rFonts w:ascii="Times New Roman" w:hAnsi="Times New Roman"/>
          <w:color w:val="000000"/>
          <w:sz w:val="24"/>
        </w:rPr>
        <w:t>2026.</w:t>
      </w:r>
    </w:p>
    <w:p>
      <w:pPr>
        <w:pStyle w:val="TextBody"/>
        <w:bidi w:val="0"/>
        <w:spacing w:before="220" w:after="283"/>
        <w:jc w:val="both"/>
        <w:rPr/>
      </w:pPr>
      <w:r>
        <w:rPr>
          <w:color w:val="000000"/>
        </w:rPr>
        <w:t>“</w:t>
      </w:r>
      <w:r>
        <w:rPr>
          <w:rFonts w:ascii="Times New Roman" w:hAnsi="Times New Roman"/>
          <w:color w:val="000000"/>
          <w:sz w:val="24"/>
          <w:u w:val="single"/>
        </w:rPr>
        <w:t>Adjusted Eligible Receivables Balance</w:t>
      </w:r>
      <w:r>
        <w:rPr>
          <w:rFonts w:ascii="Times New Roman" w:hAnsi="Times New Roman"/>
          <w:color w:val="000000"/>
          <w:sz w:val="24"/>
        </w:rPr>
        <w:t>” means, at any time of determination: (a) the aggregate Outstanding Balance of all Eligible Receivables then in the Receivables Pool, minus (b) the Offset Payables Reduction Amount.</w:t>
      </w:r>
    </w:p>
    <w:p>
      <w:pPr>
        <w:pStyle w:val="TextBody"/>
        <w:bidi w:val="0"/>
        <w:spacing w:before="240" w:after="283"/>
        <w:jc w:val="both"/>
        <w:rPr/>
      </w:pPr>
      <w:r>
        <w:rPr>
          <w:color w:val="000000"/>
        </w:rPr>
        <w:t>“</w:t>
      </w:r>
      <w:r>
        <w:rPr>
          <w:rFonts w:ascii="Times New Roman" w:hAnsi="Times New Roman"/>
          <w:color w:val="000000"/>
          <w:sz w:val="24"/>
          <w:u w:val="single"/>
        </w:rPr>
        <w:t>Administrative Agent</w:t>
      </w:r>
      <w:r>
        <w:rPr>
          <w:rFonts w:ascii="Times New Roman" w:hAnsi="Times New Roman"/>
          <w:color w:val="000000"/>
          <w:sz w:val="24"/>
        </w:rPr>
        <w:t>” means Bank of America, in its capacity as contractual representative for the Purchaser Parties, and any successor thereto in such capacity appointed pursuant to Section 8.09 of the Receivables Purchase Agreement.</w:t>
      </w:r>
    </w:p>
    <w:p>
      <w:pPr>
        <w:pStyle w:val="TextBody"/>
        <w:bidi w:val="0"/>
        <w:spacing w:before="240" w:after="283"/>
        <w:jc w:val="both"/>
        <w:rPr/>
      </w:pPr>
      <w:r>
        <w:rPr>
          <w:color w:val="000000"/>
        </w:rPr>
        <w:t>“</w:t>
      </w:r>
      <w:r>
        <w:rPr>
          <w:rFonts w:ascii="Times New Roman" w:hAnsi="Times New Roman"/>
          <w:color w:val="000000"/>
          <w:sz w:val="24"/>
          <w:u w:val="single"/>
        </w:rPr>
        <w:t>Adverse Claim</w:t>
      </w:r>
      <w:r>
        <w:rPr>
          <w:rFonts w:ascii="Times New Roman" w:hAnsi="Times New Roman"/>
          <w:color w:val="000000"/>
          <w:sz w:val="24"/>
        </w:rPr>
        <w:t>” means any ownership interest or claim, mortgage, deed or declaration of trust, pledge, lien, security interest, hypothecation, charge or other encumbrance or security arrangement of any nature whatsoever, whether voluntarily or involuntarily given, including, but not limited to, any conditional sale or title retention arrangement, and any assignment, deposit arrangement or lease intended as, or having the effect of, security and any filed financing statement or other notice of any of the foregoing (whether or not a lien or other encumbrance is created or exists at the time of the filing); it being understood that any of the foregoing (i) in favour of, or assigned to, the Administrative Agent (for the benefit of the Secured Parties) or (ii) in favour of a Collection Account Bank pursuant to the terms of a Security Document shall not constitute an Adverse Claim.</w:t>
      </w:r>
    </w:p>
    <w:p>
      <w:pPr>
        <w:pStyle w:val="TextBody"/>
        <w:bidi w:val="0"/>
        <w:spacing w:before="240" w:after="283"/>
        <w:jc w:val="both"/>
        <w:rPr/>
      </w:pPr>
      <w:r>
        <w:rPr>
          <w:color w:val="000000"/>
        </w:rPr>
        <w:t>“</w:t>
      </w:r>
      <w:r>
        <w:rPr>
          <w:rFonts w:ascii="Times New Roman" w:hAnsi="Times New Roman"/>
          <w:color w:val="000000"/>
          <w:sz w:val="24"/>
          <w:u w:val="single"/>
        </w:rPr>
        <w:t>Advisors</w:t>
      </w:r>
      <w:r>
        <w:rPr>
          <w:rFonts w:ascii="Times New Roman" w:hAnsi="Times New Roman"/>
          <w:color w:val="000000"/>
          <w:sz w:val="24"/>
        </w:rPr>
        <w:t>” has the meaning set forth in Section 11.06(c) of the Receivables Purchase Agreement.</w:t>
      </w:r>
    </w:p>
    <w:p>
      <w:pPr>
        <w:pStyle w:val="TextBody"/>
        <w:bidi w:val="0"/>
        <w:spacing w:before="240" w:after="283"/>
        <w:jc w:val="both"/>
        <w:rPr/>
      </w:pPr>
      <w:r>
        <w:rPr>
          <w:color w:val="000000"/>
        </w:rPr>
        <w:t>“</w:t>
      </w:r>
      <w:r>
        <w:rPr>
          <w:rFonts w:ascii="Times New Roman" w:hAnsi="Times New Roman"/>
          <w:color w:val="000000"/>
          <w:sz w:val="24"/>
          <w:u w:val="single"/>
        </w:rPr>
        <w:t>Affected Person</w:t>
      </w:r>
      <w:r>
        <w:rPr>
          <w:rFonts w:ascii="Times New Roman" w:hAnsi="Times New Roman"/>
          <w:color w:val="000000"/>
          <w:sz w:val="24"/>
        </w:rPr>
        <w:t>” means each Purchaser Party, each Program Support Provider, each Liquidity Agent and each of their respective Affiliates.</w:t>
      </w:r>
    </w:p>
    <w:p>
      <w:pPr>
        <w:pStyle w:val="TextBody"/>
        <w:bidi w:val="0"/>
        <w:spacing w:before="240" w:after="283"/>
        <w:jc w:val="both"/>
        <w:rPr/>
      </w:pPr>
      <w:r>
        <w:rPr>
          <w:color w:val="000000"/>
        </w:rPr>
        <w:t>“</w:t>
      </w:r>
      <w:r>
        <w:rPr>
          <w:rFonts w:ascii="Times New Roman" w:hAnsi="Times New Roman"/>
          <w:color w:val="000000"/>
          <w:sz w:val="24"/>
          <w:u w:val="single"/>
        </w:rPr>
        <w:t>Affected Financial Institution</w:t>
      </w:r>
      <w:r>
        <w:rPr>
          <w:rFonts w:ascii="Times New Roman" w:hAnsi="Times New Roman"/>
          <w:color w:val="000000"/>
          <w:sz w:val="24"/>
        </w:rPr>
        <w:t>” means (a) any EEA Financial Institution, or (b) any UK Financial Institution.</w:t>
      </w:r>
    </w:p>
    <w:p>
      <w:pPr>
        <w:pStyle w:val="TextBody"/>
        <w:bidi w:val="0"/>
        <w:spacing w:before="240" w:after="283"/>
        <w:jc w:val="both"/>
        <w:rPr/>
      </w:pPr>
      <w:r>
        <w:rPr>
          <w:color w:val="000000"/>
        </w:rPr>
        <w:t>“</w:t>
      </w:r>
      <w:r>
        <w:rPr>
          <w:rFonts w:ascii="Times New Roman" w:hAnsi="Times New Roman"/>
          <w:color w:val="000000"/>
          <w:sz w:val="24"/>
          <w:u w:val="single"/>
        </w:rPr>
        <w:t>Affiliate</w:t>
      </w:r>
      <w:r>
        <w:rPr>
          <w:rFonts w:ascii="Times New Roman" w:hAnsi="Times New Roman"/>
          <w:color w:val="000000"/>
          <w:sz w:val="24"/>
        </w:rPr>
        <w:t xml:space="preserve">” means, as to any Person: (a) any other Person that, directly or indirectly, is in control of, is controlled by or is under common control with such Person or (b) who is a director or officer: (i) of such Person or (ii) of any Person described in </w:t>
      </w:r>
      <w:r>
        <w:rPr>
          <w:rFonts w:ascii="Times New Roman" w:hAnsi="Times New Roman"/>
          <w:color w:val="000000"/>
          <w:sz w:val="24"/>
          <w:u w:val="single"/>
        </w:rPr>
        <w:t>clause (a)</w:t>
      </w:r>
      <w:r>
        <w:rPr>
          <w:rFonts w:ascii="Times New Roman" w:hAnsi="Times New Roman"/>
          <w:color w:val="000000"/>
          <w:sz w:val="24"/>
        </w:rPr>
        <w:t xml:space="preserve">, except that, in the case of each Conduit Purchaser, Affiliate shall mean the holder(s) of its Capital Stock. For purposes of this definition, control of a Person shall mean the power, direct or indirect: (x) to vote 25% or more of the securities having ordinary voting power for the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election of directors or managers of such Person or (y) to direct or cause the direction of the management and policies of such Person, in either case whether by ownership of securities, contract, proxy or otherwise.</w:t>
      </w:r>
    </w:p>
    <w:p>
      <w:pPr>
        <w:pStyle w:val="TextBody"/>
        <w:bidi w:val="0"/>
        <w:spacing w:before="240" w:after="283"/>
        <w:jc w:val="both"/>
        <w:rPr/>
      </w:pPr>
      <w:r>
        <w:rPr>
          <w:color w:val="000000"/>
        </w:rPr>
        <w:t>“</w:t>
      </w:r>
      <w:r>
        <w:rPr>
          <w:rFonts w:ascii="Times New Roman" w:hAnsi="Times New Roman"/>
          <w:color w:val="000000"/>
          <w:sz w:val="24"/>
          <w:u w:val="single"/>
        </w:rPr>
        <w:t>Agreed Currency</w:t>
      </w:r>
      <w:r>
        <w:rPr>
          <w:rFonts w:ascii="Times New Roman" w:hAnsi="Times New Roman"/>
          <w:color w:val="000000"/>
          <w:sz w:val="24"/>
        </w:rPr>
        <w:t>” means Euros or any Alternative Currency, as applicable.</w:t>
      </w:r>
    </w:p>
    <w:p>
      <w:pPr>
        <w:pStyle w:val="TextBody"/>
        <w:bidi w:val="0"/>
        <w:spacing w:before="240" w:after="283"/>
        <w:jc w:val="both"/>
        <w:rPr/>
      </w:pPr>
      <w:r>
        <w:rPr>
          <w:color w:val="000000"/>
        </w:rPr>
        <w:t>“</w:t>
      </w:r>
      <w:r>
        <w:rPr>
          <w:rFonts w:ascii="Times New Roman" w:hAnsi="Times New Roman"/>
          <w:color w:val="000000"/>
          <w:sz w:val="24"/>
          <w:u w:val="single"/>
        </w:rPr>
        <w:t>Agreement Currency</w:t>
      </w:r>
      <w:r>
        <w:rPr>
          <w:rFonts w:ascii="Times New Roman" w:hAnsi="Times New Roman"/>
          <w:color w:val="000000"/>
          <w:sz w:val="24"/>
        </w:rPr>
        <w:t xml:space="preserve">” has the meaning specified in </w:t>
      </w:r>
      <w:r>
        <w:rPr>
          <w:rFonts w:ascii="Times New Roman" w:hAnsi="Times New Roman"/>
          <w:color w:val="000000"/>
          <w:sz w:val="24"/>
          <w:u w:val="single"/>
        </w:rPr>
        <w:t>Section 11.18</w:t>
      </w:r>
      <w:r>
        <w:rPr>
          <w:rFonts w:ascii="Times New Roman" w:hAnsi="Times New Roman"/>
          <w:color w:val="000000"/>
          <w:sz w:val="24"/>
        </w:rPr>
        <w:t xml:space="preserve"> of the Receivables Purchase Agreement.</w:t>
      </w:r>
    </w:p>
    <w:p>
      <w:pPr>
        <w:pStyle w:val="TextBody"/>
        <w:bidi w:val="0"/>
        <w:spacing w:before="240" w:after="283"/>
        <w:jc w:val="both"/>
        <w:rPr/>
      </w:pPr>
      <w:r>
        <w:rPr>
          <w:color w:val="000000"/>
        </w:rPr>
        <w:t>“</w:t>
      </w:r>
      <w:r>
        <w:rPr>
          <w:rFonts w:ascii="Times New Roman" w:hAnsi="Times New Roman"/>
          <w:color w:val="000000"/>
          <w:sz w:val="24"/>
          <w:u w:val="single"/>
        </w:rPr>
        <w:t>Aggregate Capital</w:t>
      </w:r>
      <w:r>
        <w:rPr>
          <w:rFonts w:ascii="Times New Roman" w:hAnsi="Times New Roman"/>
          <w:color w:val="000000"/>
          <w:sz w:val="24"/>
        </w:rPr>
        <w:t>” means, at any time of determination, the Euro Equivalent of the aggregate outstanding Capital of all Purchasers at such time.</w:t>
      </w:r>
    </w:p>
    <w:p>
      <w:pPr>
        <w:pStyle w:val="TextBody"/>
        <w:bidi w:val="0"/>
        <w:spacing w:before="240" w:after="283"/>
        <w:jc w:val="both"/>
        <w:rPr/>
      </w:pPr>
      <w:r>
        <w:rPr>
          <w:color w:val="000000"/>
        </w:rPr>
        <w:t>“</w:t>
      </w:r>
      <w:r>
        <w:rPr>
          <w:rFonts w:ascii="Times New Roman" w:hAnsi="Times New Roman"/>
          <w:color w:val="000000"/>
          <w:sz w:val="24"/>
          <w:u w:val="single"/>
        </w:rPr>
        <w:t>Aggregate Yield</w:t>
      </w:r>
      <w:r>
        <w:rPr>
          <w:rFonts w:ascii="Times New Roman" w:hAnsi="Times New Roman"/>
          <w:color w:val="000000"/>
          <w:sz w:val="24"/>
        </w:rPr>
        <w:t xml:space="preserve">” means, at any time of determination, the aggregate accrued and unpaid </w:t>
      </w:r>
      <w:r>
        <w:rPr>
          <w:rFonts w:ascii="Times New Roman" w:hAnsi="Times New Roman"/>
          <w:color w:val="000000"/>
          <w:sz w:val="24"/>
          <w:u w:val="single"/>
        </w:rPr>
        <w:t>Yield</w:t>
      </w:r>
      <w:r>
        <w:rPr>
          <w:rFonts w:ascii="Times New Roman" w:hAnsi="Times New Roman"/>
          <w:color w:val="000000"/>
          <w:sz w:val="24"/>
        </w:rPr>
        <w:t xml:space="preserve"> on the aggregate outstanding Capital of all Purchasers at such time.</w:t>
      </w:r>
    </w:p>
    <w:p>
      <w:pPr>
        <w:pStyle w:val="TextBody"/>
        <w:bidi w:val="0"/>
        <w:spacing w:before="240" w:after="283"/>
        <w:jc w:val="left"/>
        <w:rPr/>
      </w:pPr>
      <w:r>
        <w:rPr>
          <w:color w:val="000000"/>
        </w:rPr>
        <w:t>“</w:t>
      </w:r>
      <w:r>
        <w:rPr>
          <w:rFonts w:ascii="Times New Roman" w:hAnsi="Times New Roman"/>
          <w:color w:val="000000"/>
          <w:sz w:val="24"/>
          <w:u w:val="single"/>
        </w:rPr>
        <w:t>Agreement</w:t>
      </w:r>
      <w:r>
        <w:rPr>
          <w:rFonts w:ascii="Times New Roman" w:hAnsi="Times New Roman"/>
          <w:color w:val="000000"/>
          <w:sz w:val="24"/>
        </w:rPr>
        <w:t xml:space="preserve">” has the meaning set forth in the </w:t>
      </w:r>
      <w:r>
        <w:rPr>
          <w:rFonts w:ascii="Times New Roman" w:hAnsi="Times New Roman"/>
          <w:color w:val="000000"/>
          <w:sz w:val="24"/>
          <w:u w:val="single"/>
        </w:rPr>
        <w:t>preamble</w:t>
      </w:r>
      <w:r>
        <w:rPr>
          <w:rFonts w:ascii="Times New Roman" w:hAnsi="Times New Roman"/>
          <w:color w:val="000000"/>
          <w:sz w:val="24"/>
        </w:rPr>
        <w:t xml:space="preserve"> to this Agreement. </w:t>
      </w:r>
    </w:p>
    <w:p>
      <w:pPr>
        <w:pStyle w:val="TextBody"/>
        <w:bidi w:val="0"/>
        <w:spacing w:before="240" w:after="283"/>
        <w:jc w:val="both"/>
        <w:rPr/>
      </w:pPr>
      <w:r>
        <w:rPr>
          <w:color w:val="000000"/>
        </w:rPr>
        <w:t>“</w:t>
      </w:r>
      <w:r>
        <w:rPr>
          <w:rFonts w:ascii="Times New Roman" w:hAnsi="Times New Roman"/>
          <w:color w:val="000000"/>
          <w:sz w:val="24"/>
          <w:u w:val="single"/>
        </w:rPr>
        <w:t>Alternative Currency</w:t>
      </w:r>
      <w:r>
        <w:rPr>
          <w:rFonts w:ascii="Times New Roman" w:hAnsi="Times New Roman"/>
          <w:color w:val="000000"/>
          <w:sz w:val="24"/>
        </w:rPr>
        <w:t>” means each of the following currencies: Sterling and Dollars, together with each other currency (other than Euro) that is approved in accordance with Section 1.05 of the Receivables Purchase Agreement; provided that for each Alternative Currency, such requested currency is an Eligible Currency.</w:t>
      </w:r>
    </w:p>
    <w:p>
      <w:pPr>
        <w:pStyle w:val="TextBody"/>
        <w:bidi w:val="0"/>
        <w:spacing w:before="240" w:after="283"/>
        <w:jc w:val="both"/>
        <w:rPr/>
      </w:pPr>
      <w:r>
        <w:rPr>
          <w:color w:val="000000"/>
        </w:rPr>
        <w:t>“</w:t>
      </w:r>
      <w:r>
        <w:rPr>
          <w:rFonts w:ascii="Times New Roman" w:hAnsi="Times New Roman"/>
          <w:color w:val="000000"/>
          <w:sz w:val="24"/>
          <w:u w:val="single"/>
        </w:rPr>
        <w:t>Alternative Currency Equivalent</w:t>
      </w:r>
      <w:r>
        <w:rPr>
          <w:rFonts w:ascii="Times New Roman" w:hAnsi="Times New Roman"/>
          <w:color w:val="000000"/>
          <w:sz w:val="24"/>
        </w:rPr>
        <w:t>” means, at any time, with respect to any amount denominated in Euro, the equivalent amount thereof in the applicable Alternative Currency as determined by the Servicer, as the case may be, by reference to Bloomberg (or such other publicly available service for displaying exchange rates), to be the exchange rate for the purchase of such Alternative Currency with Euro at approximately 5:00 p.m. (London time) on the date two (2) Business Days prior to the date as of which the foreign exchange computation is made; provided, however, that if no such rate is available, the “Alternative Currency Equivalent” shall be determined by the Servicer, as the case may be, using any reasonable method of determination agreed with the Administrative Agent.</w:t>
      </w:r>
    </w:p>
    <w:p>
      <w:pPr>
        <w:pStyle w:val="TextBody"/>
        <w:bidi w:val="0"/>
        <w:spacing w:before="240" w:after="283"/>
        <w:jc w:val="both"/>
        <w:rPr/>
      </w:pPr>
      <w:r>
        <w:rPr>
          <w:color w:val="000000"/>
        </w:rPr>
        <w:t>“</w:t>
      </w:r>
      <w:r>
        <w:rPr>
          <w:rFonts w:ascii="Times New Roman" w:hAnsi="Times New Roman"/>
          <w:color w:val="000000"/>
          <w:sz w:val="24"/>
          <w:u w:val="single"/>
        </w:rPr>
        <w:t>Amended and Restated Master Framework Agreement</w:t>
      </w:r>
      <w:r>
        <w:rPr>
          <w:rFonts w:ascii="Times New Roman" w:hAnsi="Times New Roman"/>
          <w:color w:val="000000"/>
          <w:sz w:val="24"/>
        </w:rPr>
        <w:t>” means this Deed.</w:t>
      </w:r>
    </w:p>
    <w:p>
      <w:pPr>
        <w:pStyle w:val="TextBody"/>
        <w:bidi w:val="0"/>
        <w:spacing w:before="240" w:after="283"/>
        <w:jc w:val="both"/>
        <w:rPr/>
      </w:pPr>
      <w:r>
        <w:rPr>
          <w:color w:val="000000"/>
        </w:rPr>
        <w:t>“</w:t>
      </w:r>
      <w:r>
        <w:rPr>
          <w:rFonts w:ascii="Times New Roman" w:hAnsi="Times New Roman"/>
          <w:color w:val="000000"/>
          <w:sz w:val="24"/>
          <w:u w:val="single"/>
        </w:rPr>
        <w:t>Amended and Restated Receivables Purchase Agreement</w:t>
      </w:r>
      <w:r>
        <w:rPr>
          <w:rFonts w:ascii="Times New Roman" w:hAnsi="Times New Roman"/>
          <w:color w:val="000000"/>
          <w:sz w:val="24"/>
        </w:rPr>
        <w:t>” means amended and restated Receivables Purchase Agreement dated on or about the Effective Date.</w:t>
      </w:r>
    </w:p>
    <w:p>
      <w:pPr>
        <w:pStyle w:val="TextBody"/>
        <w:bidi w:val="0"/>
        <w:spacing w:before="240" w:after="283"/>
        <w:jc w:val="both"/>
        <w:rPr/>
      </w:pPr>
      <w:r>
        <w:rPr>
          <w:color w:val="000000"/>
        </w:rPr>
        <w:t>“</w:t>
      </w:r>
      <w:r>
        <w:rPr>
          <w:rFonts w:ascii="Times New Roman" w:hAnsi="Times New Roman"/>
          <w:color w:val="000000"/>
          <w:sz w:val="24"/>
          <w:u w:val="single"/>
        </w:rPr>
        <w:t>Anticipated Default</w:t>
      </w:r>
      <w:r>
        <w:rPr>
          <w:rFonts w:ascii="Times New Roman" w:hAnsi="Times New Roman"/>
          <w:color w:val="000000"/>
          <w:sz w:val="24"/>
        </w:rPr>
        <w:t xml:space="preserve">” has the meaning given to that term in the Limited Waiver. </w:t>
      </w:r>
    </w:p>
    <w:p>
      <w:pPr>
        <w:pStyle w:val="TextBody"/>
        <w:bidi w:val="0"/>
        <w:spacing w:before="240" w:after="283"/>
        <w:jc w:val="both"/>
        <w:rPr/>
      </w:pPr>
      <w:r>
        <w:rPr>
          <w:color w:val="000000"/>
        </w:rPr>
        <w:t>“</w:t>
      </w:r>
      <w:r>
        <w:rPr>
          <w:rFonts w:ascii="Times New Roman" w:hAnsi="Times New Roman"/>
          <w:color w:val="000000"/>
          <w:sz w:val="24"/>
          <w:u w:val="single"/>
        </w:rPr>
        <w:t>Anti-Corruption Law</w:t>
      </w:r>
      <w:r>
        <w:rPr>
          <w:rFonts w:ascii="Times New Roman" w:hAnsi="Times New Roman"/>
          <w:color w:val="000000"/>
          <w:sz w:val="24"/>
        </w:rPr>
        <w:t>” means the United States Foreign Corrupt Practices Act of 1977, the UK Bribery Act 2010, and any other applicable anti-corruption legislation in other jurisdictions.</w:t>
      </w:r>
    </w:p>
    <w:p>
      <w:pPr>
        <w:pStyle w:val="TextBody"/>
        <w:bidi w:val="0"/>
        <w:spacing w:before="240" w:after="283"/>
        <w:jc w:val="both"/>
        <w:rPr/>
      </w:pPr>
      <w:r>
        <w:rPr>
          <w:color w:val="000000"/>
        </w:rPr>
        <w:t>“</w:t>
      </w:r>
      <w:r>
        <w:rPr>
          <w:rFonts w:ascii="Times New Roman" w:hAnsi="Times New Roman"/>
          <w:color w:val="000000"/>
          <w:sz w:val="24"/>
          <w:u w:val="single"/>
        </w:rPr>
        <w:t>Applicable Authority</w:t>
      </w:r>
      <w:r>
        <w:rPr>
          <w:rFonts w:ascii="Times New Roman" w:hAnsi="Times New Roman"/>
          <w:color w:val="000000"/>
          <w:sz w:val="24"/>
        </w:rPr>
        <w:t>” means (a) with respect to SOFR, the SOFR Administrator or any Governmental Authority having jurisdiction over the Administrative Agent or the SOFR Administrator with respect to its publication of SOFR, in each case acting in such capacity and (b) with respect to EURIBOR or any Alternative Currency (other than Dollars), the applicable administrator for the Relevant Rate for EURIBOR or such Alternative Currency (other than Dollars) or any Governmental Authority having jurisdiction over the Administrative Agent or such administrator with respect to its publication of the applicable Relevant Rate, in each case acting in such capacity.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6" w:after="283"/>
        <w:jc w:val="both"/>
        <w:rPr/>
      </w:pPr>
      <w:r>
        <w:rPr>
          <w:color w:val="000000"/>
        </w:rPr>
        <w:t>“</w:t>
      </w:r>
      <w:r>
        <w:rPr>
          <w:rFonts w:ascii="Times New Roman" w:hAnsi="Times New Roman"/>
          <w:color w:val="000000"/>
          <w:sz w:val="24"/>
          <w:u w:val="single"/>
        </w:rPr>
        <w:t>Anti-Terrorism Laws</w:t>
      </w:r>
      <w:r>
        <w:rPr>
          <w:rFonts w:ascii="Times New Roman" w:hAnsi="Times New Roman"/>
          <w:color w:val="000000"/>
          <w:sz w:val="24"/>
        </w:rPr>
        <w:t>” means any Applicable Law in force or hereinafter enacted related to terrorism, money laundering or economic sanctions, including Executive Order No. 13224, the USA PATRIOT Act, the International Emergency Economic Powers Act, 50 U.S.C. 1701, et. seq., the Trading with the Enemy Act, 50 U.S.C. App. 1, et. seq., 18 U.S.C. § 2332d, and 18 U.S.C. § 2339B and any regulations or directives promulgated under these provisions.</w:t>
      </w:r>
    </w:p>
    <w:p>
      <w:pPr>
        <w:pStyle w:val="TextBody"/>
        <w:bidi w:val="0"/>
        <w:spacing w:before="240" w:after="283"/>
        <w:jc w:val="both"/>
        <w:rPr/>
      </w:pPr>
      <w:r>
        <w:rPr>
          <w:color w:val="000000"/>
        </w:rPr>
        <w:t>“</w:t>
      </w:r>
      <w:r>
        <w:rPr>
          <w:rFonts w:ascii="Times New Roman" w:hAnsi="Times New Roman"/>
          <w:color w:val="000000"/>
          <w:sz w:val="24"/>
          <w:u w:val="single"/>
        </w:rPr>
        <w:t>Applicable Law</w:t>
      </w:r>
      <w:r>
        <w:rPr>
          <w:rFonts w:ascii="Times New Roman" w:hAnsi="Times New Roman"/>
          <w:color w:val="000000"/>
          <w:sz w:val="24"/>
        </w:rPr>
        <w:t>” means, with respect to any Person, (x) all provisions of law, statute, treaty, constitution, rule, regulation, ordinance, requirement, restriction, permit, executive order, certificate, decision, directive or order of any Governmental Authority applicable to such Person or any of its property and (y) all judgments, injunctions, orders, writs, decrees and awards of all courts and arbitrators in proceedings or actions in which such Person is a party or by which any of its property is bound. For the avoidance of doubt, FATCA shall constitute an “Applicable Law” for all purposes of this Agreement.</w:t>
      </w:r>
    </w:p>
    <w:p>
      <w:pPr>
        <w:pStyle w:val="TextBody"/>
        <w:bidi w:val="0"/>
        <w:spacing w:before="240" w:after="283"/>
        <w:jc w:val="left"/>
        <w:rPr/>
      </w:pPr>
      <w:r>
        <w:rPr>
          <w:color w:val="000000"/>
        </w:rPr>
        <w:t>“</w:t>
      </w:r>
      <w:r>
        <w:rPr>
          <w:rFonts w:ascii="Times New Roman" w:hAnsi="Times New Roman"/>
          <w:color w:val="000000"/>
          <w:sz w:val="24"/>
          <w:u w:val="single"/>
        </w:rPr>
        <w:t>Ashland</w:t>
      </w:r>
      <w:r>
        <w:rPr>
          <w:rFonts w:ascii="Times New Roman" w:hAnsi="Times New Roman"/>
          <w:color w:val="000000"/>
          <w:sz w:val="24"/>
        </w:rPr>
        <w:t xml:space="preserve">” is defined in the </w:t>
      </w:r>
      <w:r>
        <w:rPr>
          <w:rFonts w:ascii="Times New Roman" w:hAnsi="Times New Roman"/>
          <w:color w:val="000000"/>
          <w:sz w:val="24"/>
          <w:u w:val="single"/>
        </w:rPr>
        <w:t>Preamble</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Ashland Credit Agreement</w:t>
      </w:r>
      <w:r>
        <w:rPr>
          <w:rFonts w:ascii="Times New Roman" w:hAnsi="Times New Roman"/>
          <w:color w:val="000000"/>
          <w:sz w:val="24"/>
        </w:rPr>
        <w:t xml:space="preserve">” means the amended and restated credit agreement, dated as of July 22, 2022 (as further amended and/or restated from time to time), among Ashland, as borrower, Ashland Global Holdings Inc and Ashland Chemco Inc., as holding companies, Ashland Services B.V., a </w:t>
      </w:r>
      <w:r>
        <w:rPr>
          <w:rFonts w:ascii="Times New Roman" w:hAnsi="Times New Roman"/>
          <w:i/>
          <w:color w:val="000000"/>
          <w:sz w:val="24"/>
        </w:rPr>
        <w:t xml:space="preserve">besloten vennootschap met beperkte aansprakelijkheid </w:t>
      </w:r>
      <w:r>
        <w:rPr>
          <w:rFonts w:ascii="Times New Roman" w:hAnsi="Times New Roman"/>
          <w:color w:val="000000"/>
          <w:sz w:val="24"/>
        </w:rPr>
        <w:t>organized under the laws of the Netherlands, as the Dutch borrower, various financial institutions, The Bank of Nova Scotia, as swing line lender, l/c issuer and as administrative agent and Citibank, N.A., as syndication agent.</w:t>
      </w:r>
    </w:p>
    <w:p>
      <w:pPr>
        <w:pStyle w:val="TextBody"/>
        <w:bidi w:val="0"/>
        <w:spacing w:before="240" w:after="283"/>
        <w:jc w:val="both"/>
        <w:rPr/>
      </w:pPr>
      <w:r>
        <w:rPr>
          <w:color w:val="000000"/>
        </w:rPr>
        <w:t>“</w:t>
      </w:r>
      <w:r>
        <w:rPr>
          <w:rFonts w:ascii="Times New Roman" w:hAnsi="Times New Roman"/>
          <w:color w:val="000000"/>
          <w:sz w:val="24"/>
          <w:u w:val="single"/>
        </w:rPr>
        <w:t>Ashland Group</w:t>
      </w:r>
      <w:r>
        <w:rPr>
          <w:rFonts w:ascii="Times New Roman" w:hAnsi="Times New Roman"/>
          <w:color w:val="000000"/>
          <w:sz w:val="24"/>
        </w:rPr>
        <w:t xml:space="preserve">” has the meaning set forth in </w:t>
      </w:r>
      <w:r>
        <w:rPr>
          <w:rFonts w:ascii="Times New Roman" w:hAnsi="Times New Roman"/>
          <w:color w:val="000000"/>
          <w:sz w:val="24"/>
          <w:u w:val="single"/>
        </w:rPr>
        <w:t xml:space="preserve">Section 5.05(c) </w:t>
      </w:r>
      <w:r>
        <w:rPr>
          <w:rFonts w:ascii="Times New Roman" w:hAnsi="Times New Roman"/>
          <w:color w:val="000000"/>
          <w:sz w:val="24"/>
        </w:rPr>
        <w:t>of the Receivables Purchase Agreement.</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Ashland Sub-Servicers</w:t>
      </w:r>
      <w:r>
        <w:rPr>
          <w:rFonts w:ascii="Times New Roman" w:hAnsi="Times New Roman"/>
          <w:color w:val="000000"/>
          <w:sz w:val="24"/>
        </w:rPr>
        <w:t>” means, each of the French Sub-Servicer, the German Sub-Servicer, the Italian Sub-Servicer, the Singaporean Sub-Servicer, the Spanish Sub-Servicer, the Swiss Sub-Servicer, the UK Sub-Servicer.</w:t>
      </w:r>
    </w:p>
    <w:p>
      <w:pPr>
        <w:pStyle w:val="TextBody"/>
        <w:bidi w:val="0"/>
        <w:spacing w:before="240" w:after="283"/>
        <w:jc w:val="both"/>
        <w:rPr/>
      </w:pPr>
      <w:r>
        <w:rPr>
          <w:color w:val="000000"/>
        </w:rPr>
        <w:t>“</w:t>
      </w:r>
      <w:r>
        <w:rPr>
          <w:rFonts w:ascii="Times New Roman" w:hAnsi="Times New Roman"/>
          <w:color w:val="000000"/>
          <w:sz w:val="24"/>
          <w:u w:val="single"/>
        </w:rPr>
        <w:t>Assignment and Acceptance Agreement</w:t>
      </w:r>
      <w:r>
        <w:rPr>
          <w:rFonts w:ascii="Times New Roman" w:hAnsi="Times New Roman"/>
          <w:color w:val="000000"/>
          <w:sz w:val="24"/>
        </w:rPr>
        <w:t xml:space="preserve">” means an assignment and acceptance agreement entered into by a Committed Purchaser, an Eligible Assignee, such Committed Purchaser’s Group Agent and the Administrative Agent, and, if required, the Seller, pursuant to which such Eligible Assignee may become a party to the Receivables Purchase Agreement, in substantially the form of </w:t>
      </w:r>
      <w:r>
        <w:rPr>
          <w:rFonts w:ascii="Times New Roman" w:hAnsi="Times New Roman"/>
          <w:color w:val="000000"/>
          <w:sz w:val="24"/>
          <w:u w:val="single"/>
        </w:rPr>
        <w:t>Exhibit C</w:t>
      </w:r>
      <w:r>
        <w:rPr>
          <w:rFonts w:ascii="Times New Roman" w:hAnsi="Times New Roman"/>
          <w:color w:val="000000"/>
          <w:sz w:val="24"/>
        </w:rPr>
        <w:t xml:space="preserve"> thereto.</w:t>
      </w:r>
    </w:p>
    <w:p>
      <w:pPr>
        <w:pStyle w:val="TextBody"/>
        <w:bidi w:val="0"/>
        <w:spacing w:before="240" w:after="283"/>
        <w:jc w:val="both"/>
        <w:rPr/>
      </w:pPr>
      <w:r>
        <w:rPr>
          <w:color w:val="000000"/>
        </w:rPr>
        <w:t>“</w:t>
      </w:r>
      <w:r>
        <w:rPr>
          <w:rFonts w:ascii="Times New Roman" w:hAnsi="Times New Roman"/>
          <w:color w:val="000000"/>
          <w:sz w:val="24"/>
          <w:u w:val="single"/>
        </w:rPr>
        <w:t>Assumption Agreement</w:t>
      </w:r>
      <w:r>
        <w:rPr>
          <w:rFonts w:ascii="Times New Roman" w:hAnsi="Times New Roman"/>
          <w:color w:val="000000"/>
          <w:sz w:val="24"/>
        </w:rPr>
        <w:t xml:space="preserve">” has the meaning set forth in </w:t>
      </w:r>
      <w:r>
        <w:rPr>
          <w:rFonts w:ascii="Times New Roman" w:hAnsi="Times New Roman"/>
          <w:color w:val="000000"/>
          <w:sz w:val="24"/>
          <w:u w:val="single"/>
        </w:rPr>
        <w:t>Section 11.03(g)</w:t>
      </w:r>
      <w:r>
        <w:rPr>
          <w:rFonts w:ascii="Times New Roman" w:hAnsi="Times New Roman"/>
          <w:color w:val="000000"/>
          <w:sz w:val="24"/>
        </w:rPr>
        <w:t xml:space="preserve"> of the Receivables Purchase Agreement.</w:t>
      </w:r>
    </w:p>
    <w:p>
      <w:pPr>
        <w:pStyle w:val="TextBody"/>
        <w:bidi w:val="0"/>
        <w:spacing w:before="240" w:after="283"/>
        <w:jc w:val="both"/>
        <w:rPr/>
      </w:pPr>
      <w:r>
        <w:rPr>
          <w:color w:val="000000"/>
        </w:rPr>
        <w:t>“</w:t>
      </w:r>
      <w:r>
        <w:rPr>
          <w:rFonts w:ascii="Times New Roman" w:hAnsi="Times New Roman"/>
          <w:color w:val="000000"/>
          <w:sz w:val="24"/>
          <w:u w:val="single"/>
        </w:rPr>
        <w:t>Attorney Costs</w:t>
      </w:r>
      <w:r>
        <w:rPr>
          <w:rFonts w:ascii="Times New Roman" w:hAnsi="Times New Roman"/>
          <w:color w:val="000000"/>
          <w:sz w:val="24"/>
        </w:rPr>
        <w:t>” means and includes all reasonable and documented fees, costs, expenses and disbursements of any law firm or other external counsel and all disbursements of internal counsel.</w:t>
      </w:r>
    </w:p>
    <w:p>
      <w:pPr>
        <w:pStyle w:val="TextBody"/>
        <w:bidi w:val="0"/>
        <w:spacing w:before="240" w:after="283"/>
        <w:jc w:val="both"/>
        <w:rPr/>
      </w:pPr>
      <w:r>
        <w:rPr>
          <w:color w:val="000000"/>
        </w:rPr>
        <w:t>“</w:t>
      </w:r>
      <w:r>
        <w:rPr>
          <w:rFonts w:ascii="Times New Roman" w:hAnsi="Times New Roman"/>
          <w:color w:val="000000"/>
          <w:sz w:val="24"/>
          <w:u w:val="single"/>
        </w:rPr>
        <w:t>Bail-In Action</w:t>
      </w:r>
      <w:r>
        <w:rPr>
          <w:rFonts w:ascii="Times New Roman" w:hAnsi="Times New Roman"/>
          <w:color w:val="000000"/>
          <w:sz w:val="24"/>
        </w:rPr>
        <w:t>” means the exercise of any Write-Down and Conversion Powers by the applicable Resolution Authority in respect of any liability of an Affected Financial Institution.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Bail-In Legislation</w:t>
      </w:r>
      <w:r>
        <w:rPr>
          <w:rFonts w:ascii="Times New Roman" w:hAnsi="Times New Roman"/>
          <w:color w:val="000000"/>
          <w:sz w:val="24"/>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240" w:after="283"/>
        <w:jc w:val="both"/>
        <w:rPr/>
      </w:pPr>
      <w:r>
        <w:rPr>
          <w:color w:val="000000"/>
        </w:rPr>
        <w:t>“</w:t>
      </w:r>
      <w:r>
        <w:rPr>
          <w:rFonts w:ascii="Times New Roman" w:hAnsi="Times New Roman"/>
          <w:color w:val="000000"/>
          <w:sz w:val="24"/>
          <w:u w:val="single"/>
        </w:rPr>
        <w:t>Bank of America</w:t>
      </w:r>
      <w:r>
        <w:rPr>
          <w:rFonts w:ascii="Times New Roman" w:hAnsi="Times New Roman"/>
          <w:color w:val="000000"/>
          <w:sz w:val="24"/>
        </w:rPr>
        <w:t xml:space="preserve">” has the meaning set forth in the </w:t>
      </w:r>
      <w:r>
        <w:rPr>
          <w:rFonts w:ascii="Times New Roman" w:hAnsi="Times New Roman"/>
          <w:color w:val="000000"/>
          <w:sz w:val="24"/>
          <w:u w:val="single"/>
        </w:rPr>
        <w:t>preamble</w:t>
      </w:r>
      <w:r>
        <w:rPr>
          <w:rFonts w:ascii="Times New Roman" w:hAnsi="Times New Roman"/>
          <w:color w:val="000000"/>
          <w:sz w:val="24"/>
        </w:rPr>
        <w:t xml:space="preserve"> to this Agreement. </w:t>
      </w:r>
    </w:p>
    <w:p>
      <w:pPr>
        <w:pStyle w:val="TextBody"/>
        <w:bidi w:val="0"/>
        <w:spacing w:before="240" w:after="283"/>
        <w:jc w:val="both"/>
        <w:rPr/>
      </w:pPr>
      <w:r>
        <w:rPr>
          <w:color w:val="000000"/>
        </w:rPr>
        <w:t>“</w:t>
      </w:r>
      <w:r>
        <w:rPr>
          <w:rFonts w:ascii="Times New Roman" w:hAnsi="Times New Roman"/>
          <w:color w:val="000000"/>
          <w:sz w:val="24"/>
          <w:u w:val="single"/>
        </w:rPr>
        <w:t>Bank of America Europe</w:t>
      </w:r>
      <w:r>
        <w:rPr>
          <w:rFonts w:ascii="Times New Roman" w:hAnsi="Times New Roman"/>
          <w:color w:val="000000"/>
          <w:sz w:val="24"/>
        </w:rPr>
        <w:t>” has the meaning set forth in the preamble to this Agreement. “</w:t>
      </w:r>
      <w:r>
        <w:rPr>
          <w:rFonts w:ascii="Times New Roman" w:hAnsi="Times New Roman"/>
          <w:color w:val="000000"/>
          <w:sz w:val="24"/>
          <w:u w:val="single"/>
        </w:rPr>
        <w:t>Bankruptcy Code</w:t>
      </w:r>
      <w:r>
        <w:rPr>
          <w:rFonts w:ascii="Times New Roman" w:hAnsi="Times New Roman"/>
          <w:color w:val="000000"/>
          <w:sz w:val="24"/>
        </w:rPr>
        <w:t>” means the United States Bankruptcy Reform Act of 1978 (11 U.S.C. § 101, et seq.), as amended from time to time. “</w:t>
      </w:r>
      <w:r>
        <w:rPr>
          <w:rFonts w:ascii="Times New Roman" w:hAnsi="Times New Roman"/>
          <w:color w:val="000000"/>
          <w:sz w:val="24"/>
          <w:u w:val="single"/>
        </w:rPr>
        <w:t>Base Rate</w:t>
      </w:r>
      <w:r>
        <w:rPr>
          <w:rFonts w:ascii="Times New Roman" w:hAnsi="Times New Roman"/>
          <w:color w:val="000000"/>
          <w:sz w:val="24"/>
        </w:rPr>
        <w:t>” means: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in respect of Capital denominated in Dollars, a rate per annum (expressed as a percentage and rounded to the nearest 1/100 of 1%, with 5/1000th of 1% rounded upward) equal to the greater of:</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(i) the rate of interest in effect for such day as publicly announced from time to time by the applicable Group Agent or its Affiliate as its “reference rate” or “prime rate”, as applicable. Such “reference rate” or “prime rate” is set by the applicable Group Agent or its Affiliate based upon various factors, including such Person’s costs and desired return, general economic conditions and other factors, and is used as a reference point for pricing some loans, which may be priced at, above or below such announced rate, and is not necessarily the lowest rate charged to any customer provided that if any above such rate is less than zero, such rate shall be deemed to be zero;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0.50% per annum above the Federal Funds Rate;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Daily 1M SOFR, plus 1.00% so long as Daily 1M SOFR is offered, ascertainable and not unlawful.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in respect of any Capital denominated in Euros, Sterling or any other Alternative Currency other than Dollars, a fluctuating interest rate per annum as shall be in effect from time to time, which rate shall at all times be equal to the greater 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the Relevant Rate, as applicable, for a one month period on such day (or if such day is not a Business Day, the immediately preceding Business Day) plus 1.00%;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the rate at which overnight deposits (in an amount approximately equal to and in the applicable currency of such Capital in respect of which the Base Rate is to be determined) are offered by the principal London office of the applicable Group Agent or the applicable Committed Purchaser in immediately available funds to leading banks in the London interbank market; or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the "policy rate," "base rate," "reference rate" or other customarily referenced rate for loans to corporate borrowers for such currency on the relevant page of the applicable central bank or other commercially reasonable source determined by the applicable Group Agent or the applicable Committed Purchaser.</w:t>
      </w:r>
    </w:p>
    <w:p>
      <w:pPr>
        <w:pStyle w:val="TextBody"/>
        <w:bidi w:val="0"/>
        <w:spacing w:before="240" w:after="283"/>
        <w:jc w:val="both"/>
        <w:rPr/>
      </w:pPr>
      <w:r>
        <w:rPr>
          <w:color w:val="000000"/>
        </w:rPr>
        <w:t>“</w:t>
      </w:r>
      <w:r>
        <w:rPr>
          <w:rFonts w:ascii="Times New Roman" w:hAnsi="Times New Roman"/>
          <w:color w:val="000000"/>
          <w:sz w:val="24"/>
          <w:u w:val="single"/>
        </w:rPr>
        <w:t>Beneficial Owner</w:t>
      </w:r>
      <w:r>
        <w:rPr>
          <w:rFonts w:ascii="Times New Roman" w:hAnsi="Times New Roman"/>
          <w:color w:val="000000"/>
          <w:sz w:val="24"/>
        </w:rPr>
        <w:t>” means, for the Seller, each of the following: (a) each individual, if any, who, directly or indirectly, owns 25% or more of the Seller’s Capital Stock; and (b) a single individual with significant responsibility to control, manage or direct the Seller.</w:t>
      </w:r>
    </w:p>
    <w:p>
      <w:pPr>
        <w:pStyle w:val="TextBody"/>
        <w:bidi w:val="0"/>
        <w:spacing w:before="240" w:after="283"/>
        <w:jc w:val="both"/>
        <w:rPr/>
      </w:pPr>
      <w:r>
        <w:rPr>
          <w:color w:val="000000"/>
        </w:rPr>
        <w:t>“</w:t>
      </w:r>
      <w:r>
        <w:rPr>
          <w:rFonts w:ascii="Times New Roman" w:hAnsi="Times New Roman"/>
          <w:color w:val="000000"/>
          <w:sz w:val="24"/>
          <w:u w:val="single"/>
        </w:rPr>
        <w:t>Beneficial Ownership Regulation</w:t>
      </w:r>
      <w:r>
        <w:rPr>
          <w:rFonts w:ascii="Times New Roman" w:hAnsi="Times New Roman"/>
          <w:color w:val="000000"/>
          <w:sz w:val="24"/>
        </w:rPr>
        <w:t>” means 31 C.F.R. § 1010.230.</w:t>
      </w:r>
    </w:p>
    <w:p>
      <w:pPr>
        <w:pStyle w:val="TextBody"/>
        <w:bidi w:val="0"/>
        <w:spacing w:before="240" w:after="283"/>
        <w:jc w:val="both"/>
        <w:rPr/>
      </w:pPr>
      <w:r>
        <w:rPr>
          <w:color w:val="000000"/>
        </w:rPr>
        <w:t>“</w:t>
      </w:r>
      <w:r>
        <w:rPr>
          <w:rFonts w:ascii="Times New Roman" w:hAnsi="Times New Roman"/>
          <w:color w:val="000000"/>
          <w:sz w:val="24"/>
          <w:u w:val="single"/>
        </w:rPr>
        <w:t>Business Day</w:t>
      </w:r>
      <w:r>
        <w:rPr>
          <w:rFonts w:ascii="Times New Roman" w:hAnsi="Times New Roman"/>
          <w:color w:val="000000"/>
          <w:sz w:val="24"/>
        </w:rPr>
        <w:t>” means any day (i) on which commercial banks are open for general business in the state where the Administrative Agent’s office is located, Delaware, London, Dublin, New York and Brussels or (ii) is a TARGET Day, (in all cases, other than a Saturday or Sunday) provided that if such day relates to any interest rate settings as to a Capital denominated in Dollars, any such day that is also a U.S. Government Securities Business Day.</w:t>
      </w:r>
    </w:p>
    <w:p>
      <w:pPr>
        <w:pStyle w:val="TextBody"/>
        <w:bidi w:val="0"/>
        <w:spacing w:before="240" w:after="283"/>
        <w:jc w:val="both"/>
        <w:rPr/>
      </w:pPr>
      <w:r>
        <w:rPr>
          <w:color w:val="000000"/>
        </w:rPr>
        <w:t>“</w:t>
      </w:r>
      <w:r>
        <w:rPr>
          <w:rFonts w:ascii="Times New Roman" w:hAnsi="Times New Roman"/>
          <w:color w:val="000000"/>
          <w:sz w:val="24"/>
          <w:u w:val="single"/>
        </w:rPr>
        <w:t>Capital</w:t>
      </w:r>
      <w:r>
        <w:rPr>
          <w:rFonts w:ascii="Times New Roman" w:hAnsi="Times New Roman"/>
          <w:color w:val="000000"/>
          <w:sz w:val="24"/>
        </w:rPr>
        <w:t xml:space="preserve">” means, with respect to any Purchaser, the aggregate amounts paid to, or on behalf of, the Seller in connection with all Investments made by such Purchaser in the relevant currency pursuant to </w:t>
      </w:r>
      <w:r>
        <w:rPr>
          <w:rFonts w:ascii="Times New Roman" w:hAnsi="Times New Roman"/>
          <w:color w:val="000000"/>
          <w:sz w:val="24"/>
          <w:u w:val="single"/>
        </w:rPr>
        <w:t xml:space="preserve">Article II </w:t>
      </w:r>
      <w:r>
        <w:rPr>
          <w:rFonts w:ascii="Times New Roman" w:hAnsi="Times New Roman"/>
          <w:color w:val="000000"/>
          <w:sz w:val="24"/>
        </w:rPr>
        <w:t xml:space="preserve">of the Receivables Purchase Agreement, as reduced from time to time by Collections distributed and applied on account of reducing, returning or repaying such Capital pursuant to </w:t>
      </w:r>
      <w:r>
        <w:rPr>
          <w:rFonts w:ascii="Times New Roman" w:hAnsi="Times New Roman"/>
          <w:color w:val="000000"/>
          <w:sz w:val="24"/>
          <w:u w:val="single"/>
        </w:rPr>
        <w:t>Section 2.02(d)</w:t>
      </w:r>
      <w:r>
        <w:rPr>
          <w:rFonts w:ascii="Times New Roman" w:hAnsi="Times New Roman"/>
          <w:color w:val="000000"/>
          <w:sz w:val="24"/>
        </w:rPr>
        <w:t xml:space="preserve"> of the Receivables Purchase Agreement or </w:t>
      </w:r>
      <w:r>
        <w:rPr>
          <w:rFonts w:ascii="Times New Roman" w:hAnsi="Times New Roman"/>
          <w:color w:val="000000"/>
          <w:sz w:val="24"/>
          <w:u w:val="single"/>
        </w:rPr>
        <w:t xml:space="preserve">Section 3.01 </w:t>
      </w:r>
      <w:r>
        <w:rPr>
          <w:rFonts w:ascii="Times New Roman" w:hAnsi="Times New Roman"/>
          <w:color w:val="000000"/>
          <w:sz w:val="24"/>
        </w:rPr>
        <w:t xml:space="preserve">of the Receivables Purchase Agreement; </w:t>
      </w:r>
      <w:r>
        <w:rPr>
          <w:rFonts w:ascii="Times New Roman" w:hAnsi="Times New Roman"/>
          <w:color w:val="000000"/>
          <w:sz w:val="24"/>
          <w:u w:val="single"/>
        </w:rPr>
        <w:t>provided</w:t>
      </w:r>
      <w:r>
        <w:rPr>
          <w:rFonts w:ascii="Times New Roman" w:hAnsi="Times New Roman"/>
          <w:color w:val="000000"/>
          <w:sz w:val="24"/>
        </w:rPr>
        <w:t>, that if such Capital shall have been reduced by any distribution and thereafter all or a portion of such distribution is rescinded or must otherwise be returned for any reason, such Capital shall be increased by the amount of such rescinded or returned distribution as though it had not been made.</w:t>
      </w:r>
    </w:p>
    <w:p>
      <w:pPr>
        <w:pStyle w:val="TextBody"/>
        <w:bidi w:val="0"/>
        <w:spacing w:before="240" w:after="283"/>
        <w:jc w:val="both"/>
        <w:rPr/>
      </w:pPr>
      <w:r>
        <w:rPr>
          <w:color w:val="000000"/>
        </w:rPr>
        <w:t>“</w:t>
      </w:r>
      <w:r>
        <w:rPr>
          <w:rFonts w:ascii="Times New Roman" w:hAnsi="Times New Roman"/>
          <w:color w:val="000000"/>
          <w:sz w:val="24"/>
          <w:u w:val="single"/>
        </w:rPr>
        <w:t>Capital Coverage Amount</w:t>
      </w:r>
      <w:r>
        <w:rPr>
          <w:rFonts w:ascii="Times New Roman" w:hAnsi="Times New Roman"/>
          <w:color w:val="000000"/>
          <w:sz w:val="24"/>
        </w:rPr>
        <w:t xml:space="preserve">” means, at any time of determination, the amount equal to (a) the Net Receivables Pool Balance at such time, </w:t>
      </w:r>
      <w:r>
        <w:rPr>
          <w:rFonts w:ascii="Times New Roman" w:hAnsi="Times New Roman"/>
          <w:color w:val="000000"/>
          <w:sz w:val="24"/>
          <w:u w:val="single"/>
        </w:rPr>
        <w:t>minus</w:t>
      </w:r>
      <w:r>
        <w:rPr>
          <w:rFonts w:ascii="Times New Roman" w:hAnsi="Times New Roman"/>
          <w:color w:val="000000"/>
          <w:sz w:val="24"/>
        </w:rPr>
        <w:t xml:space="preserve"> (b) the Total Reserves at such time.</w:t>
      </w:r>
    </w:p>
    <w:p>
      <w:pPr>
        <w:pStyle w:val="TextBody"/>
        <w:bidi w:val="0"/>
        <w:spacing w:before="240" w:after="283"/>
        <w:jc w:val="both"/>
        <w:rPr/>
      </w:pPr>
      <w:r>
        <w:rPr>
          <w:color w:val="000000"/>
        </w:rPr>
        <w:t>“</w:t>
      </w:r>
      <w:r>
        <w:rPr>
          <w:rFonts w:ascii="Times New Roman" w:hAnsi="Times New Roman"/>
          <w:color w:val="000000"/>
          <w:sz w:val="24"/>
          <w:u w:val="single"/>
        </w:rPr>
        <w:t>Capital Coverage Deficit</w:t>
      </w:r>
      <w:r>
        <w:rPr>
          <w:rFonts w:ascii="Times New Roman" w:hAnsi="Times New Roman"/>
          <w:color w:val="000000"/>
          <w:sz w:val="24"/>
        </w:rPr>
        <w:t>” means, at any time of determination, the amount, if any, by which (a) the Aggregate Capital exceeds (b) the Capital Coverage Amount at such time.</w:t>
      </w:r>
    </w:p>
    <w:p>
      <w:pPr>
        <w:pStyle w:val="TextBody"/>
        <w:bidi w:val="0"/>
        <w:spacing w:before="240" w:after="283"/>
        <w:jc w:val="both"/>
        <w:rPr/>
      </w:pPr>
      <w:r>
        <w:rPr>
          <w:color w:val="000000"/>
        </w:rPr>
        <w:t>“</w:t>
      </w:r>
      <w:r>
        <w:rPr>
          <w:rFonts w:ascii="Times New Roman" w:hAnsi="Times New Roman"/>
          <w:color w:val="000000"/>
          <w:sz w:val="24"/>
          <w:u w:val="single"/>
        </w:rPr>
        <w:t>Capital Stock</w:t>
      </w:r>
      <w:r>
        <w:rPr>
          <w:rFonts w:ascii="Times New Roman" w:hAnsi="Times New Roman"/>
          <w:color w:val="000000"/>
          <w:sz w:val="24"/>
        </w:rPr>
        <w:t>” means, with respect to any Person, any and all common shares, preferred shares, interests, participations, rights in or other equivalents (however designated) of such Person’s capital stock, partnership interests, limited liability company interests, membership interests or other equivalent interests and any rights (other than debt securities convertible into or exchangeable for capital stock), warrants or options exchangeable for or convertible into such capital stock or other equity interests.</w:t>
      </w:r>
    </w:p>
    <w:p>
      <w:pPr>
        <w:pStyle w:val="TextBody"/>
        <w:bidi w:val="0"/>
        <w:spacing w:before="240" w:after="283"/>
        <w:jc w:val="both"/>
        <w:rPr/>
      </w:pPr>
      <w:r>
        <w:rPr>
          <w:color w:val="000000"/>
        </w:rPr>
        <w:t>“</w:t>
      </w:r>
      <w:r>
        <w:rPr>
          <w:rFonts w:ascii="Times New Roman" w:hAnsi="Times New Roman"/>
          <w:color w:val="000000"/>
          <w:sz w:val="24"/>
          <w:u w:val="single"/>
        </w:rPr>
        <w:t>Certificate of Beneficial Ownership</w:t>
      </w:r>
      <w:r>
        <w:rPr>
          <w:rFonts w:ascii="Times New Roman" w:hAnsi="Times New Roman"/>
          <w:color w:val="000000"/>
          <w:sz w:val="24"/>
        </w:rPr>
        <w:t>” means, for the Seller, a certificate in form and substance acceptable to the Administrative Agent (as amended or modified by the Administrative Agent from time to time in its sole discretion), certifying as to, among other things, the Beneficial Owner.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color w:val="000000"/>
        </w:rPr>
        <w:t>“</w:t>
      </w:r>
      <w:r>
        <w:rPr>
          <w:rFonts w:ascii="Times New Roman" w:hAnsi="Times New Roman"/>
          <w:color w:val="000000"/>
          <w:sz w:val="24"/>
          <w:u w:val="single"/>
        </w:rPr>
        <w:t>Change in Control</w:t>
      </w:r>
      <w:r>
        <w:rPr>
          <w:rFonts w:ascii="Times New Roman" w:hAnsi="Times New Roman"/>
          <w:color w:val="000000"/>
          <w:sz w:val="24"/>
        </w:rPr>
        <w:t>” means the occurrence of any of the following: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(i) the failure of the Parent to own, free and clear of any Adverse Claim and on a fully diluted basis, 100% of the membership interests of the Seller and (ii) the failure of Ashland to ultimately own, free and clear of any Adverse Claim and on a fully diluted basis, 100% of the membership interests of the Parent;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any Adverse Claim should exist with respect to the Subordinated Loan Agreement or any Subordinated Loan or the Intercompany Loan Agreement or any Intercompany Loan;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the failure of Ashland to own, directly or indirectly, free and clear of any Adverse Claim (other than any Adverse Claims granted to secure obligations under the Transaction Documents and obligations under the Ashland Credit Agreement) and on a fully diluted basis, at least 100% of the outstanding shares of voting stock or other equity interests of each Originator; or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 an event or series of events by which: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any “person” or “group” (as such terms are used in Sections 13(d) and 14(d) of the Exchange Act, but excluding any employee benefit plan of such person or its subsidiaries, and any person or entity acting in its capacity as trustee, agent or other fiduciary or administrator of any such plan) becomes the “beneficial owner” (as defined in Rules 13d-3 and 13d-5 under the Exchange Act, except that a person or group shall be deemed to have “beneficial ownership” of all securities that such person or group has the right to acquire, whether such right is exercisable immediately or only after the passage of time (such right, an “option right”)), directly or indirectly, of 35% or more of the equity securities of Ashland entitled to vote for members of the board of directors or equivalent governing body of Ashland on a fully-diluted basis (and taking into account all such securities that such “person” or “group” has the right to acquire pursuant to any option right);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during any period of 12 consecutive months, a majority of the members of the board of directors or other equivalent governing body of Ashland cease to be composed of individuals (a) who were members of that board or equivalent governing body on the first day of such period, (b) whose election or nomination to that board or equivalent governing body was approved by individuals referred to in clause (a) above constituting at the time of such election or nomination at least a majority of that board or equivalent governing body; or (c) whose election or nomination to that board or other equivalent governing body was approved by individuals referred to in clauses (a) and (b) above constituting at the time of such election or nomination at least a majority of that board or equivalent governing body;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a “change of control” or any comparable term under, and as defined in, the Ashland Credit Agreement, the Existing Senior Notes Documentation or other Debt exceeding $100,000,000, shall have occurred.</w:t>
      </w:r>
    </w:p>
    <w:p>
      <w:pPr>
        <w:pStyle w:val="TextBody"/>
        <w:bidi w:val="0"/>
        <w:spacing w:before="240" w:after="283"/>
        <w:jc w:val="both"/>
        <w:rPr/>
      </w:pPr>
      <w:r>
        <w:rPr>
          <w:color w:val="000000"/>
        </w:rPr>
        <w:t>“</w:t>
      </w:r>
      <w:r>
        <w:rPr>
          <w:rFonts w:ascii="Times New Roman" w:hAnsi="Times New Roman"/>
          <w:color w:val="000000"/>
          <w:sz w:val="24"/>
          <w:u w:val="single"/>
        </w:rPr>
        <w:t>Change in Law</w:t>
      </w:r>
      <w:r>
        <w:rPr>
          <w:rFonts w:ascii="Times New Roman" w:hAnsi="Times New Roman"/>
          <w:color w:val="000000"/>
          <w:sz w:val="24"/>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request, rule, guideline or directive (whether or not having the force of law) by any Governmental Authority; </w:t>
      </w:r>
      <w:r>
        <w:rPr>
          <w:rFonts w:ascii="Times New Roman" w:hAnsi="Times New Roman"/>
          <w:color w:val="000000"/>
          <w:sz w:val="24"/>
          <w:u w:val="single"/>
        </w:rPr>
        <w:t>provided</w:t>
      </w:r>
      <w:r>
        <w:rPr>
          <w:rFonts w:ascii="Times New Roman" w:hAnsi="Times New Roman"/>
          <w:color w:val="000000"/>
          <w:sz w:val="24"/>
        </w:rPr>
        <w:t xml:space="preserve"> that notwithstanding anything herein to the contrary, (w) the final rule titled </w:t>
      </w:r>
      <w:r>
        <w:rPr>
          <w:rFonts w:ascii="Times New Roman" w:hAnsi="Times New Roman"/>
          <w:i/>
          <w:color w:val="000000"/>
          <w:sz w:val="24"/>
        </w:rPr>
        <w:t>Risk-Based Capital Guidelines; Capital Adequacy Guidelines; Capital Maintenance:</w:t>
      </w:r>
      <w:r>
        <w:rPr>
          <w:rFonts w:ascii="Times New Roman" w:hAnsi="Times New Roman"/>
          <w:color w:val="000000"/>
          <w:sz w:val="24"/>
        </w:rPr>
        <w:t xml:space="preserve"> </w:t>
      </w:r>
      <w:r>
        <w:rPr>
          <w:rFonts w:ascii="Times New Roman" w:hAnsi="Times New Roman"/>
          <w:i/>
          <w:color w:val="000000"/>
          <w:sz w:val="24"/>
        </w:rPr>
        <w:t>Regulatory</w:t>
      </w:r>
      <w:r>
        <w:rPr>
          <w:rFonts w:ascii="Times New Roman" w:hAnsi="Times New Roman"/>
          <w:color w:val="000000"/>
          <w:sz w:val="24"/>
        </w:rPr>
        <w:t xml:space="preserve"> </w:t>
      </w:r>
      <w:r>
        <w:rPr>
          <w:rFonts w:ascii="Times New Roman" w:hAnsi="Times New Roman"/>
          <w:i/>
          <w:color w:val="000000"/>
          <w:sz w:val="24"/>
        </w:rPr>
        <w:t>Capital;</w:t>
      </w:r>
      <w:r>
        <w:rPr>
          <w:rFonts w:ascii="Times New Roman" w:hAnsi="Times New Roman"/>
          <w:color w:val="000000"/>
          <w:sz w:val="24"/>
        </w:rPr>
        <w:t xml:space="preserve"> </w:t>
      </w:r>
      <w:r>
        <w:rPr>
          <w:rFonts w:ascii="Times New Roman" w:hAnsi="Times New Roman"/>
          <w:i/>
          <w:color w:val="000000"/>
          <w:sz w:val="24"/>
        </w:rPr>
        <w:t>Impact</w:t>
      </w:r>
      <w:r>
        <w:rPr>
          <w:rFonts w:ascii="Times New Roman" w:hAnsi="Times New Roman"/>
          <w:color w:val="000000"/>
          <w:sz w:val="24"/>
        </w:rPr>
        <w:t xml:space="preserve"> </w:t>
      </w:r>
      <w:r>
        <w:rPr>
          <w:rFonts w:ascii="Times New Roman" w:hAnsi="Times New Roman"/>
          <w:i/>
          <w:color w:val="000000"/>
          <w:sz w:val="24"/>
        </w:rPr>
        <w:t>of</w:t>
      </w:r>
      <w:r>
        <w:rPr>
          <w:rFonts w:ascii="Times New Roman" w:hAnsi="Times New Roman"/>
          <w:color w:val="000000"/>
          <w:sz w:val="24"/>
        </w:rPr>
        <w:t xml:space="preserve"> </w:t>
      </w:r>
      <w:r>
        <w:rPr>
          <w:rFonts w:ascii="Times New Roman" w:hAnsi="Times New Roman"/>
          <w:i/>
          <w:color w:val="000000"/>
          <w:sz w:val="24"/>
        </w:rPr>
        <w:t>Modifications</w:t>
      </w:r>
      <w:r>
        <w:rPr>
          <w:rFonts w:ascii="Times New Roman" w:hAnsi="Times New Roman"/>
          <w:color w:val="000000"/>
          <w:sz w:val="24"/>
        </w:rPr>
        <w:t xml:space="preserve"> </w:t>
      </w:r>
      <w:r>
        <w:rPr>
          <w:rFonts w:ascii="Times New Roman" w:hAnsi="Times New Roman"/>
          <w:i/>
          <w:color w:val="000000"/>
          <w:sz w:val="24"/>
        </w:rPr>
        <w:t>to</w:t>
      </w:r>
      <w:r>
        <w:rPr>
          <w:rFonts w:ascii="Times New Roman" w:hAnsi="Times New Roman"/>
          <w:color w:val="000000"/>
          <w:sz w:val="24"/>
        </w:rPr>
        <w:t xml:space="preserve"> </w:t>
      </w:r>
      <w:r>
        <w:rPr>
          <w:rFonts w:ascii="Times New Roman" w:hAnsi="Times New Roman"/>
          <w:i/>
          <w:color w:val="000000"/>
          <w:sz w:val="24"/>
        </w:rPr>
        <w:t>Generally</w:t>
      </w:r>
      <w:r>
        <w:rPr>
          <w:rFonts w:ascii="Times New Roman" w:hAnsi="Times New Roman"/>
          <w:color w:val="000000"/>
          <w:sz w:val="24"/>
        </w:rPr>
        <w:t xml:space="preserve"> </w:t>
      </w:r>
      <w:r>
        <w:rPr>
          <w:rFonts w:ascii="Times New Roman" w:hAnsi="Times New Roman"/>
          <w:i/>
          <w:color w:val="000000"/>
          <w:sz w:val="24"/>
        </w:rPr>
        <w:t>Accepted</w:t>
      </w:r>
      <w:r>
        <w:rPr>
          <w:rFonts w:ascii="Times New Roman" w:hAnsi="Times New Roman"/>
          <w:color w:val="000000"/>
          <w:sz w:val="24"/>
        </w:rPr>
        <w:t xml:space="preserve"> </w:t>
      </w:r>
      <w:r>
        <w:rPr>
          <w:rFonts w:ascii="Times New Roman" w:hAnsi="Times New Roman"/>
          <w:i/>
          <w:color w:val="000000"/>
          <w:sz w:val="24"/>
        </w:rPr>
        <w:t>Accounting Principles; Consolidation of Asset-Backed Commercial Paper Programs; and Other Related Issues</w:t>
      </w:r>
      <w:r>
        <w:rPr>
          <w:rFonts w:ascii="Times New Roman" w:hAnsi="Times New Roman"/>
          <w:color w:val="000000"/>
          <w:sz w:val="24"/>
        </w:rPr>
        <w:t>, adopted by the United States bank regulatory agencies on December 15, 2009,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the agreements reached by the Basel Committee on Banking Supervision in “Basel III: A Global Regulatory Framework for More Resilient Banks and Banking Systems” (as amended, supplemented or otherwise modified or replaced from time to time), shall in each case be deemed to be a “Change in Law”, regardless of the date enacted, adopted or issued.</w:t>
      </w:r>
    </w:p>
    <w:p>
      <w:pPr>
        <w:pStyle w:val="TextBody"/>
        <w:bidi w:val="0"/>
        <w:spacing w:before="240" w:after="283"/>
        <w:jc w:val="both"/>
        <w:rPr/>
      </w:pPr>
      <w:r>
        <w:rPr>
          <w:color w:val="000000"/>
        </w:rPr>
        <w:t>“</w:t>
      </w:r>
      <w:r>
        <w:rPr>
          <w:rFonts w:ascii="Times New Roman" w:hAnsi="Times New Roman"/>
          <w:color w:val="000000"/>
          <w:sz w:val="24"/>
          <w:u w:val="single"/>
        </w:rPr>
        <w:t>Charged-Off Receivable</w:t>
      </w:r>
      <w:r>
        <w:rPr>
          <w:rFonts w:ascii="Times New Roman" w:hAnsi="Times New Roman"/>
          <w:color w:val="000000"/>
          <w:sz w:val="24"/>
        </w:rPr>
        <w:t>” means a Pool Receivable (a) as to which an Insolvency Proceeding shall have occurred with respect to the Obligor thereof, (b) which has been identified by the Seller, any Originator or the Servicer as uncollectible, or (c) which, consistent with the Credit and Collection Policy, would be written off as uncollectible.</w:t>
      </w:r>
    </w:p>
    <w:p>
      <w:pPr>
        <w:pStyle w:val="TextBody"/>
        <w:bidi w:val="0"/>
        <w:spacing w:before="240" w:after="283"/>
        <w:jc w:val="left"/>
        <w:rPr/>
      </w:pPr>
      <w:r>
        <w:rPr>
          <w:color w:val="000000"/>
        </w:rPr>
        <w:t>“</w:t>
      </w:r>
      <w:r>
        <w:rPr>
          <w:rFonts w:ascii="Times New Roman" w:hAnsi="Times New Roman"/>
          <w:color w:val="000000"/>
          <w:sz w:val="24"/>
          <w:u w:val="single"/>
        </w:rPr>
        <w:t>Closing Date</w:t>
      </w:r>
      <w:r>
        <w:rPr>
          <w:rFonts w:ascii="Times New Roman" w:hAnsi="Times New Roman"/>
          <w:color w:val="000000"/>
          <w:sz w:val="24"/>
        </w:rPr>
        <w:t>” means 19 October 2023.</w:t>
      </w:r>
    </w:p>
    <w:p>
      <w:pPr>
        <w:pStyle w:val="TextBody"/>
        <w:bidi w:val="0"/>
        <w:spacing w:before="240" w:after="283"/>
        <w:jc w:val="left"/>
        <w:rPr/>
      </w:pPr>
      <w:r>
        <w:rPr>
          <w:color w:val="000000"/>
        </w:rPr>
        <w:t>“</w:t>
      </w:r>
      <w:r>
        <w:rPr>
          <w:rFonts w:ascii="Times New Roman" w:hAnsi="Times New Roman"/>
          <w:color w:val="000000"/>
          <w:sz w:val="24"/>
          <w:u w:val="single"/>
        </w:rPr>
        <w:t>Closing Fee</w:t>
      </w:r>
      <w:r>
        <w:rPr>
          <w:rFonts w:ascii="Times New Roman" w:hAnsi="Times New Roman"/>
          <w:color w:val="000000"/>
          <w:sz w:val="24"/>
        </w:rPr>
        <w:t>” has the meaning given to that term in the 2026 Fee Letter.</w:t>
      </w:r>
    </w:p>
    <w:p>
      <w:pPr>
        <w:pStyle w:val="TextBody"/>
        <w:bidi w:val="0"/>
        <w:spacing w:before="240" w:after="283"/>
        <w:jc w:val="both"/>
        <w:rPr/>
      </w:pPr>
      <w:r>
        <w:rPr>
          <w:color w:val="000000"/>
        </w:rPr>
        <w:t>“</w:t>
      </w:r>
      <w:r>
        <w:rPr>
          <w:rFonts w:ascii="Times New Roman" w:hAnsi="Times New Roman"/>
          <w:color w:val="000000"/>
          <w:sz w:val="24"/>
          <w:u w:val="single"/>
        </w:rPr>
        <w:t>Code</w:t>
      </w:r>
      <w:r>
        <w:rPr>
          <w:rFonts w:ascii="Times New Roman" w:hAnsi="Times New Roman"/>
          <w:color w:val="000000"/>
          <w:sz w:val="24"/>
        </w:rPr>
        <w:t>” means the Internal Revenue Code of 1986, as amended, reformed or otherwise modified from time to time.</w:t>
      </w:r>
    </w:p>
    <w:p>
      <w:pPr>
        <w:pStyle w:val="TextBody"/>
        <w:bidi w:val="0"/>
        <w:spacing w:before="240" w:after="283"/>
        <w:jc w:val="both"/>
        <w:rPr/>
      </w:pPr>
      <w:r>
        <w:rPr>
          <w:color w:val="000000"/>
        </w:rPr>
        <w:t>“</w:t>
      </w:r>
      <w:r>
        <w:rPr>
          <w:rFonts w:ascii="Times New Roman" w:hAnsi="Times New Roman"/>
          <w:color w:val="000000"/>
          <w:sz w:val="24"/>
          <w:u w:val="single"/>
        </w:rPr>
        <w:t>Collection Account</w:t>
      </w:r>
      <w:r>
        <w:rPr>
          <w:rFonts w:ascii="Times New Roman" w:hAnsi="Times New Roman"/>
          <w:color w:val="000000"/>
          <w:sz w:val="24"/>
        </w:rPr>
        <w:t xml:space="preserve">” means each account listed and labelled as such on </w:t>
      </w:r>
      <w:r>
        <w:rPr>
          <w:rFonts w:ascii="Times New Roman" w:hAnsi="Times New Roman"/>
          <w:color w:val="000000"/>
          <w:sz w:val="24"/>
          <w:u w:val="single"/>
        </w:rPr>
        <w:t>Schedule II</w:t>
      </w:r>
      <w:r>
        <w:rPr>
          <w:rFonts w:ascii="Times New Roman" w:hAnsi="Times New Roman"/>
          <w:color w:val="000000"/>
          <w:sz w:val="24"/>
        </w:rPr>
        <w:t xml:space="preserve"> to the Receivables Purchase Agreement (as such schedule may be modified from time to time in connection with the closing or opening of any Collection Account in accordance with the terms hereof) (in each case, in the name of the relevant Originator) and maintained at a bank or other financial institution acting as a Collection Account Bank pursuant to a Collection Account Declaration of Trust or a Collection Account Pledge Agreement for the purpose of receiving Collections.</w:t>
      </w:r>
    </w:p>
    <w:p>
      <w:pPr>
        <w:pStyle w:val="TextBody"/>
        <w:bidi w:val="0"/>
        <w:spacing w:before="240" w:after="283"/>
        <w:jc w:val="both"/>
        <w:rPr/>
      </w:pPr>
      <w:r>
        <w:rPr>
          <w:color w:val="000000"/>
        </w:rPr>
        <w:t>“</w:t>
      </w:r>
      <w:r>
        <w:rPr>
          <w:rFonts w:ascii="Times New Roman" w:hAnsi="Times New Roman"/>
          <w:color w:val="000000"/>
          <w:sz w:val="24"/>
          <w:u w:val="single"/>
        </w:rPr>
        <w:t>Collection Account Bank</w:t>
      </w:r>
      <w:r>
        <w:rPr>
          <w:rFonts w:ascii="Times New Roman" w:hAnsi="Times New Roman"/>
          <w:color w:val="000000"/>
          <w:sz w:val="24"/>
        </w:rPr>
        <w:t>” means any of the banks or other financial institutions holding one or more Collection Accounts.</w:t>
      </w:r>
    </w:p>
    <w:p>
      <w:pPr>
        <w:pStyle w:val="TextBody"/>
        <w:bidi w:val="0"/>
        <w:spacing w:before="240" w:after="283"/>
        <w:jc w:val="both"/>
        <w:rPr/>
      </w:pPr>
      <w:r>
        <w:rPr>
          <w:color w:val="000000"/>
        </w:rPr>
        <w:t>“</w:t>
      </w:r>
      <w:r>
        <w:rPr>
          <w:rFonts w:ascii="Times New Roman" w:hAnsi="Times New Roman"/>
          <w:color w:val="000000"/>
          <w:sz w:val="24"/>
          <w:u w:val="single"/>
        </w:rPr>
        <w:t>Collection Account Declaration of Trust</w:t>
      </w:r>
      <w:r>
        <w:rPr>
          <w:rFonts w:ascii="Times New Roman" w:hAnsi="Times New Roman"/>
          <w:color w:val="000000"/>
          <w:sz w:val="24"/>
        </w:rPr>
        <w:t>” means each of the UK Collection Account Declaration of Trust, the Irish Collection Account Declaration of Trust, the Swiss Collection Account Declaration of Trust, the German Collection Account Declaration of Trust, the French Collection Account Declaration of Trust, and, together, the “</w:t>
      </w:r>
      <w:r>
        <w:rPr>
          <w:rFonts w:ascii="Times New Roman" w:hAnsi="Times New Roman"/>
          <w:color w:val="000000"/>
          <w:sz w:val="24"/>
          <w:u w:val="single"/>
        </w:rPr>
        <w:t>Collection Account Declarations</w:t>
      </w:r>
      <w:r>
        <w:rPr>
          <w:rFonts w:ascii="Times New Roman" w:hAnsi="Times New Roman"/>
          <w:color w:val="000000"/>
          <w:sz w:val="24"/>
        </w:rPr>
        <w:t xml:space="preserve"> </w:t>
      </w:r>
      <w:r>
        <w:rPr>
          <w:rFonts w:ascii="Times New Roman" w:hAnsi="Times New Roman"/>
          <w:color w:val="000000"/>
          <w:sz w:val="24"/>
          <w:u w:val="single"/>
        </w:rPr>
        <w:t>of Trust”.</w:t>
      </w:r>
    </w:p>
    <w:p>
      <w:pPr>
        <w:pStyle w:val="TextBody"/>
        <w:bidi w:val="0"/>
        <w:spacing w:before="240" w:after="283"/>
        <w:jc w:val="both"/>
        <w:rPr/>
      </w:pPr>
      <w:r>
        <w:rPr>
          <w:color w:val="000000"/>
        </w:rPr>
        <w:t>“</w:t>
      </w:r>
      <w:r>
        <w:rPr>
          <w:rFonts w:ascii="Times New Roman" w:hAnsi="Times New Roman"/>
          <w:color w:val="000000"/>
          <w:sz w:val="24"/>
          <w:u w:val="single"/>
        </w:rPr>
        <w:t>Collection Account Pledge Agreement</w:t>
      </w:r>
      <w:r>
        <w:rPr>
          <w:rFonts w:ascii="Times New Roman" w:hAnsi="Times New Roman"/>
          <w:color w:val="000000"/>
          <w:sz w:val="24"/>
        </w:rPr>
        <w:t>” means each of the French Collection Account Pledge Agreement, the German Collection Account Pledge Agreement, the Spanish Collection Account Pledge Agreement, the Italian Collection Account Pledge Agreement, the Singapore Collection Account Pledge Agreement and the Swiss Collection Account Pledge Agreement and, together the “</w:t>
      </w:r>
      <w:r>
        <w:rPr>
          <w:rFonts w:ascii="Times New Roman" w:hAnsi="Times New Roman"/>
          <w:color w:val="000000"/>
          <w:sz w:val="24"/>
          <w:u w:val="single"/>
        </w:rPr>
        <w:t>Collection Account Pledge Agreements</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Collections</w:t>
      </w:r>
      <w:r>
        <w:rPr>
          <w:rFonts w:ascii="Times New Roman" w:hAnsi="Times New Roman"/>
          <w:color w:val="000000"/>
          <w:sz w:val="24"/>
        </w:rPr>
        <w:t xml:space="preserve">” means, with respect to any Pool Receivable: (a) all funds that are received by any Originator, the </w:t>
      </w:r>
      <w:r>
        <w:rPr>
          <w:rFonts w:ascii="Times New Roman" w:hAnsi="Times New Roman"/>
          <w:color w:val="000000"/>
          <w:sz w:val="24"/>
          <w:u w:val="single"/>
        </w:rPr>
        <w:t>Seller</w:t>
      </w:r>
      <w:r>
        <w:rPr>
          <w:rFonts w:ascii="Times New Roman" w:hAnsi="Times New Roman"/>
          <w:color w:val="000000"/>
          <w:sz w:val="24"/>
        </w:rPr>
        <w:t>, the Servicer or any other Person on their behalf in payment of any amounts owed in respect of such Pool Receivable (including service charges, finance charges, interest, fees, taxes, duties and all other charges), or applied to amounts owed in respect of such Pool Receivable (including, if any, insurance payments, proceeds of drawings under supporting letters of credit and net proceeds of the sale or other disposition of repossessed goods or other collateral or property of the related Obligor or any other Person directly or indirectly liable for the payment of such Pool Receivable and available to be applied thereon), (excluding any funds received from an Obligor that is a Sanctioned Person other than for the purposes of any indemnity under the Transaction Documents) (b) all Deemed Collections, (c) all proceeds of all Related Security with respect to such Pool Receivable, (d) all other proceeds of such Pool Receivable, (e) to the extent there is any, the amount of any refund of the VAT component for such Pool Receivable obtained pursuant to any Purchase and Sale Agreement”.</w:t>
      </w:r>
    </w:p>
    <w:p>
      <w:pPr>
        <w:pStyle w:val="TextBody"/>
        <w:bidi w:val="0"/>
        <w:spacing w:before="240" w:after="283"/>
        <w:jc w:val="both"/>
        <w:rPr/>
      </w:pPr>
      <w:r>
        <w:rPr>
          <w:color w:val="000000"/>
        </w:rPr>
        <w:t>“</w:t>
      </w:r>
      <w:r>
        <w:rPr>
          <w:rFonts w:ascii="Times New Roman" w:hAnsi="Times New Roman"/>
          <w:color w:val="000000"/>
          <w:sz w:val="24"/>
          <w:u w:val="single"/>
        </w:rPr>
        <w:t>Commercial Paper</w:t>
      </w:r>
      <w:r>
        <w:rPr>
          <w:rFonts w:ascii="Times New Roman" w:hAnsi="Times New Roman"/>
          <w:color w:val="000000"/>
          <w:sz w:val="24"/>
        </w:rPr>
        <w:t>” means the commercial paper issued, or to be issued, by any Conduit Purchaser to fund its investments in accounts receivable or other financial assets.</w:t>
      </w:r>
    </w:p>
    <w:p>
      <w:pPr>
        <w:pStyle w:val="TextBody"/>
        <w:bidi w:val="0"/>
        <w:spacing w:before="240" w:after="283"/>
        <w:jc w:val="both"/>
        <w:rPr/>
      </w:pPr>
      <w:r>
        <w:rPr>
          <w:color w:val="000000"/>
        </w:rPr>
        <w:t>“</w:t>
      </w:r>
      <w:r>
        <w:rPr>
          <w:rFonts w:ascii="Times New Roman" w:hAnsi="Times New Roman"/>
          <w:color w:val="000000"/>
          <w:sz w:val="24"/>
          <w:u w:val="single"/>
        </w:rPr>
        <w:t>Commitment</w:t>
      </w:r>
      <w:r>
        <w:rPr>
          <w:rFonts w:ascii="Times New Roman" w:hAnsi="Times New Roman"/>
          <w:color w:val="000000"/>
          <w:sz w:val="24"/>
        </w:rPr>
        <w:t xml:space="preserve">” means, with respect to any Committed Purchaser (including a Related Committed Purchaser) the maximum aggregate amount of Capital which such Person is obligated to pay pursuant to the Receivables Purchase Agreement on account of all Investments, on a combined basis, as set forth on </w:t>
      </w:r>
      <w:r>
        <w:rPr>
          <w:rFonts w:ascii="Times New Roman" w:hAnsi="Times New Roman"/>
          <w:color w:val="000000"/>
          <w:sz w:val="24"/>
          <w:u w:val="single"/>
        </w:rPr>
        <w:t>Schedule I</w:t>
      </w:r>
      <w:r>
        <w:rPr>
          <w:rFonts w:ascii="Times New Roman" w:hAnsi="Times New Roman"/>
          <w:color w:val="000000"/>
          <w:sz w:val="24"/>
        </w:rPr>
        <w:t xml:space="preserve"> of the Receivables Purchase Agreement or in the Assumption Agreement or other agreement pursuant to which it became a Purchaser, as such amount may be modified in connection with any subsequent assignment pursuant to </w:t>
      </w:r>
      <w:r>
        <w:rPr>
          <w:rFonts w:ascii="Times New Roman" w:hAnsi="Times New Roman"/>
          <w:color w:val="000000"/>
          <w:sz w:val="24"/>
          <w:u w:val="single"/>
        </w:rPr>
        <w:t>Section 11.03</w:t>
      </w:r>
      <w:r>
        <w:rPr>
          <w:rFonts w:ascii="Times New Roman" w:hAnsi="Times New Roman"/>
          <w:color w:val="000000"/>
          <w:sz w:val="24"/>
        </w:rPr>
        <w:t xml:space="preserve"> of the Receivables Purchase Agreement or in connection with a reduction in the Facility Limit pursuant to </w:t>
      </w:r>
      <w:r>
        <w:rPr>
          <w:rFonts w:ascii="Times New Roman" w:hAnsi="Times New Roman"/>
          <w:color w:val="000000"/>
          <w:sz w:val="24"/>
          <w:u w:val="single"/>
        </w:rPr>
        <w:t>Section 2.02(e)</w:t>
      </w:r>
      <w:r>
        <w:rPr>
          <w:rFonts w:ascii="Times New Roman" w:hAnsi="Times New Roman"/>
          <w:color w:val="000000"/>
          <w:sz w:val="24"/>
        </w:rPr>
        <w:t xml:space="preserve"> of the Receivables Purchase Agreement. If the context so requires, “Commitment” also refers to a Committed Purchaser’s obligation to fund Investments in accordance with the Receivables Purchase Agreement.</w:t>
      </w:r>
    </w:p>
    <w:p>
      <w:pPr>
        <w:pStyle w:val="TextBody"/>
        <w:bidi w:val="0"/>
        <w:spacing w:before="240" w:after="283"/>
        <w:jc w:val="both"/>
        <w:rPr/>
      </w:pPr>
      <w:r>
        <w:rPr>
          <w:color w:val="000000"/>
        </w:rPr>
        <w:t>“</w:t>
      </w:r>
      <w:r>
        <w:rPr>
          <w:rFonts w:ascii="Times New Roman" w:hAnsi="Times New Roman"/>
          <w:color w:val="000000"/>
          <w:sz w:val="24"/>
          <w:u w:val="single"/>
        </w:rPr>
        <w:t>Commitment fee</w:t>
      </w:r>
      <w:r>
        <w:rPr>
          <w:rFonts w:ascii="Times New Roman" w:hAnsi="Times New Roman"/>
          <w:color w:val="000000"/>
          <w:sz w:val="24"/>
        </w:rPr>
        <w:t xml:space="preserve">” has the meaning given to that term in the 2026 Fee Letter. </w:t>
      </w:r>
    </w:p>
    <w:p>
      <w:pPr>
        <w:pStyle w:val="TextBody"/>
        <w:bidi w:val="0"/>
        <w:spacing w:before="240" w:after="283"/>
        <w:jc w:val="both"/>
        <w:rPr/>
      </w:pPr>
      <w:r>
        <w:rPr>
          <w:color w:val="000000"/>
        </w:rPr>
        <w:t>“</w:t>
      </w:r>
      <w:r>
        <w:rPr>
          <w:rFonts w:ascii="Times New Roman" w:hAnsi="Times New Roman"/>
          <w:color w:val="000000"/>
          <w:sz w:val="24"/>
          <w:u w:val="single"/>
        </w:rPr>
        <w:t>Committed Purchasers</w:t>
      </w:r>
      <w:r>
        <w:rPr>
          <w:rFonts w:ascii="Times New Roman" w:hAnsi="Times New Roman"/>
          <w:color w:val="000000"/>
          <w:sz w:val="24"/>
        </w:rPr>
        <w:t>” means Bank of America Europe, Mont Blanc Capital Corp and each other Person that is or becomes a party to the Receivables Purchase Agreement in the capacity of a “Committed Purchaser”.</w:t>
      </w:r>
    </w:p>
    <w:p>
      <w:pPr>
        <w:pStyle w:val="TextBody"/>
        <w:bidi w:val="0"/>
        <w:spacing w:before="240" w:after="283"/>
        <w:jc w:val="both"/>
        <w:rPr/>
      </w:pPr>
      <w:r>
        <w:rPr>
          <w:color w:val="000000"/>
        </w:rPr>
        <w:t>“</w:t>
      </w:r>
      <w:r>
        <w:rPr>
          <w:rFonts w:ascii="Times New Roman" w:hAnsi="Times New Roman"/>
          <w:color w:val="000000"/>
          <w:sz w:val="24"/>
          <w:u w:val="single"/>
        </w:rPr>
        <w:t>Concentration Percentage</w:t>
      </w:r>
      <w:r>
        <w:rPr>
          <w:rFonts w:ascii="Times New Roman" w:hAnsi="Times New Roman"/>
          <w:color w:val="000000"/>
          <w:sz w:val="24"/>
        </w:rPr>
        <w:t xml:space="preserve">” means (a) except as provided in </w:t>
      </w:r>
      <w:r>
        <w:rPr>
          <w:rFonts w:ascii="Times New Roman" w:hAnsi="Times New Roman"/>
          <w:color w:val="000000"/>
          <w:sz w:val="24"/>
          <w:u w:val="single"/>
        </w:rPr>
        <w:t>clause (b)</w:t>
      </w:r>
      <w:r>
        <w:rPr>
          <w:rFonts w:ascii="Times New Roman" w:hAnsi="Times New Roman"/>
          <w:color w:val="000000"/>
          <w:sz w:val="24"/>
        </w:rPr>
        <w:t xml:space="preserve"> below, (i) for any Group A Obligor, 15.00%, (ii) for any Group B Obligor, 7.50%, (iii) for any Group C Obligor, 5.00 % and (iv) for any Group D Obligor, 3.75% and (b) for each of the Obligors listed on </w:t>
      </w:r>
      <w:r>
        <w:rPr>
          <w:rFonts w:ascii="Times New Roman" w:hAnsi="Times New Roman"/>
          <w:color w:val="000000"/>
          <w:sz w:val="24"/>
          <w:u w:val="single"/>
        </w:rPr>
        <w:t>Exhibit J</w:t>
      </w:r>
      <w:r>
        <w:rPr>
          <w:rFonts w:ascii="Times New Roman" w:hAnsi="Times New Roman"/>
          <w:color w:val="000000"/>
          <w:sz w:val="24"/>
        </w:rPr>
        <w:t xml:space="preserve"> (each, a “</w:t>
      </w:r>
      <w:r>
        <w:rPr>
          <w:rFonts w:ascii="Times New Roman" w:hAnsi="Times New Roman"/>
          <w:color w:val="000000"/>
          <w:sz w:val="24"/>
          <w:u w:val="single"/>
        </w:rPr>
        <w:t>Special Obligor</w:t>
      </w:r>
      <w:r>
        <w:rPr>
          <w:rFonts w:ascii="Times New Roman" w:hAnsi="Times New Roman"/>
          <w:color w:val="000000"/>
          <w:sz w:val="24"/>
        </w:rPr>
        <w:t xml:space="preserve">”), the percentage specified on </w:t>
      </w:r>
      <w:r>
        <w:rPr>
          <w:rFonts w:ascii="Times New Roman" w:hAnsi="Times New Roman"/>
          <w:color w:val="000000"/>
          <w:sz w:val="24"/>
          <w:u w:val="single"/>
        </w:rPr>
        <w:t>Exhibit J</w:t>
      </w:r>
      <w:r>
        <w:rPr>
          <w:rFonts w:ascii="Times New Roman" w:hAnsi="Times New Roman"/>
          <w:color w:val="000000"/>
          <w:sz w:val="24"/>
        </w:rPr>
        <w:t xml:space="preserve"> of the Receivables Purchase Agreement for such Special Obligor (the applicable “</w:t>
      </w:r>
      <w:r>
        <w:rPr>
          <w:rFonts w:ascii="Times New Roman" w:hAnsi="Times New Roman"/>
          <w:color w:val="000000"/>
          <w:sz w:val="24"/>
          <w:u w:val="single"/>
        </w:rPr>
        <w:t>Special</w:t>
      </w:r>
      <w:r>
        <w:rPr>
          <w:rFonts w:ascii="Times New Roman" w:hAnsi="Times New Roman"/>
          <w:color w:val="000000"/>
          <w:sz w:val="24"/>
        </w:rPr>
        <w:t xml:space="preserve"> </w:t>
      </w:r>
      <w:r>
        <w:rPr>
          <w:rFonts w:ascii="Times New Roman" w:hAnsi="Times New Roman"/>
          <w:color w:val="000000"/>
          <w:sz w:val="24"/>
          <w:u w:val="single"/>
        </w:rPr>
        <w:t>Concentration Limit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Seller may from time to time deliver written supplements to </w:t>
      </w:r>
      <w:r>
        <w:rPr>
          <w:rFonts w:ascii="Times New Roman" w:hAnsi="Times New Roman"/>
          <w:color w:val="000000"/>
          <w:sz w:val="24"/>
          <w:u w:val="single"/>
        </w:rPr>
        <w:t>Exhibit J</w:t>
      </w:r>
      <w:r>
        <w:rPr>
          <w:rFonts w:ascii="Times New Roman" w:hAnsi="Times New Roman"/>
          <w:color w:val="000000"/>
          <w:sz w:val="24"/>
        </w:rPr>
        <w:t xml:space="preserve"> and, if such supplements are approved in writing by the Administrative Agent and each Group Agent (each in its sole discretion), such supplements shall supersede the then-existing </w:t>
      </w:r>
      <w:r>
        <w:rPr>
          <w:rFonts w:ascii="Times New Roman" w:hAnsi="Times New Roman"/>
          <w:color w:val="000000"/>
          <w:sz w:val="24"/>
          <w:u w:val="single"/>
        </w:rPr>
        <w:t>Exhibit J</w:t>
      </w:r>
      <w:r>
        <w:rPr>
          <w:rFonts w:ascii="Times New Roman" w:hAnsi="Times New Roman"/>
          <w:color w:val="000000"/>
          <w:sz w:val="24"/>
        </w:rPr>
        <w:t xml:space="preserve"> effective as of the date agreed in writing by the Seller and each Group Agent;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the Administrative Agent or any Group Agent may, upon not less than ten (10) Business Days’ notice to the </w:t>
      </w:r>
      <w:r>
        <w:rPr>
          <w:rFonts w:ascii="Times New Roman" w:hAnsi="Times New Roman"/>
          <w:color w:val="000000"/>
          <w:sz w:val="24"/>
          <w:u w:val="single"/>
        </w:rPr>
        <w:t>Seller</w:t>
      </w:r>
      <w:r>
        <w:rPr>
          <w:rFonts w:ascii="Times New Roman" w:hAnsi="Times New Roman"/>
          <w:color w:val="000000"/>
          <w:sz w:val="24"/>
        </w:rPr>
        <w:t xml:space="preserve">, cancel or reduce the Special Concentration Limit with respect to any or all Special Obligors, in which case the Concentration Percentage for such Special Obligor(s) shall be determined pursuant to </w:t>
      </w:r>
      <w:r>
        <w:rPr>
          <w:rFonts w:ascii="Times New Roman" w:hAnsi="Times New Roman"/>
          <w:color w:val="000000"/>
          <w:sz w:val="24"/>
          <w:u w:val="single"/>
        </w:rPr>
        <w:t>clause (a)</w:t>
      </w:r>
      <w:r>
        <w:rPr>
          <w:rFonts w:ascii="Times New Roman" w:hAnsi="Times New Roman"/>
          <w:color w:val="000000"/>
          <w:sz w:val="24"/>
        </w:rPr>
        <w:t xml:space="preserve"> above. In the event that any other Obligor is or becomes an Affiliate of a Special Obligor, the Special Concentration Limit shall apply to both such Obligor and such Special Obligor and shall be calculated as if such Obligor and such Special Obligor were a single Obligor.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Concentration Reserve Percentage</w:t>
      </w:r>
      <w:r>
        <w:rPr>
          <w:rFonts w:ascii="Times New Roman" w:hAnsi="Times New Roman"/>
          <w:color w:val="000000"/>
          <w:sz w:val="24"/>
        </w:rPr>
        <w:t>” means, at any time of determination, the largest of: (a) the sum of the five (5) largest Obligor Percentages of the Group D Obligors, (b) the sum of the three (3) largest Obligor Percentages of the Group C Obligors, (c) the sum of the two (2) largest Obligor Percentages of the Group B Obligors, and (d) the largest Obligor Percentage of the Group A Obligors.</w:t>
      </w:r>
    </w:p>
    <w:p>
      <w:pPr>
        <w:pStyle w:val="TextBody"/>
        <w:bidi w:val="0"/>
        <w:spacing w:before="240" w:after="283"/>
        <w:jc w:val="both"/>
        <w:rPr/>
      </w:pPr>
      <w:r>
        <w:rPr>
          <w:color w:val="000000"/>
        </w:rPr>
        <w:t>“</w:t>
      </w:r>
      <w:r>
        <w:rPr>
          <w:rFonts w:ascii="Times New Roman" w:hAnsi="Times New Roman"/>
          <w:color w:val="000000"/>
          <w:sz w:val="24"/>
          <w:u w:val="single"/>
        </w:rPr>
        <w:t>Conduit Purchaser</w:t>
      </w:r>
      <w:r>
        <w:rPr>
          <w:rFonts w:ascii="Times New Roman" w:hAnsi="Times New Roman"/>
          <w:color w:val="000000"/>
          <w:sz w:val="24"/>
        </w:rPr>
        <w:t>” means Mont Blanc Capital Corp and each other commercial paper conduit that is or becomes a party to the Receivables Purchase Agreement in the capacity of a “Conduit Purchaser”.</w:t>
      </w:r>
    </w:p>
    <w:p>
      <w:pPr>
        <w:pStyle w:val="TextBody"/>
        <w:bidi w:val="0"/>
        <w:spacing w:before="240" w:after="283"/>
        <w:jc w:val="both"/>
        <w:rPr/>
      </w:pPr>
      <w:r>
        <w:rPr>
          <w:color w:val="000000"/>
        </w:rPr>
        <w:t>“</w:t>
      </w:r>
      <w:r>
        <w:rPr>
          <w:rFonts w:ascii="Times New Roman" w:hAnsi="Times New Roman"/>
          <w:color w:val="000000"/>
          <w:sz w:val="24"/>
          <w:u w:val="single"/>
        </w:rPr>
        <w:t>Conforming Changes</w:t>
      </w:r>
      <w:r>
        <w:rPr>
          <w:rFonts w:ascii="Times New Roman" w:hAnsi="Times New Roman"/>
          <w:color w:val="000000"/>
          <w:sz w:val="24"/>
        </w:rPr>
        <w:t>” means, with respect to the use, administration of or any conventions associated with SOFR, SONIA, EURIBOR or any proposed Successor Rate for an Agreed Currency, as applicable, any conforming changes to the definitions of “Base Rate”, SOFR, SONIA, EURIBOR, and “Yield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for such Agreed Currency (or, if the Administrative Agent determines that adoption of any portion of such market practice is not administratively feasible or that no market practice for the administration of such rate for such Agreed Currency exists, in such other manner of administration as the Administrative Agent determines is reasonably necessary in connection with the administration of the Receivables Purchase Agreement and any other Transaction Document).</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Consent Required Obligor</w:t>
      </w:r>
      <w:r>
        <w:rPr>
          <w:rFonts w:ascii="Times New Roman" w:hAnsi="Times New Roman"/>
          <w:color w:val="000000"/>
          <w:sz w:val="24"/>
        </w:rPr>
        <w:t>” means each Obligor listed as such in the 2026 Fee Letter and as determined in accordance with the 2026 Fee Letter.</w:t>
      </w:r>
    </w:p>
    <w:p>
      <w:pPr>
        <w:pStyle w:val="TextBody"/>
        <w:bidi w:val="0"/>
        <w:spacing w:before="240" w:after="283"/>
        <w:jc w:val="both"/>
        <w:rPr/>
      </w:pPr>
      <w:r>
        <w:rPr>
          <w:color w:val="000000"/>
        </w:rPr>
        <w:t>“</w:t>
      </w:r>
      <w:r>
        <w:rPr>
          <w:rFonts w:ascii="Times New Roman" w:hAnsi="Times New Roman"/>
          <w:color w:val="000000"/>
          <w:sz w:val="24"/>
          <w:u w:val="single"/>
        </w:rPr>
        <w:t>Contract</w:t>
      </w:r>
      <w:r>
        <w:rPr>
          <w:rFonts w:ascii="Times New Roman" w:hAnsi="Times New Roman"/>
          <w:color w:val="000000"/>
          <w:sz w:val="24"/>
        </w:rPr>
        <w:t>” means, with respect to any Receivable, any and all contracts, instruments, agreements, leases, invoices, notes or other writings pursuant to which such Receivable arises or that evidence such Receivable or under which an Obligor becomes or is obligated to make payment in respect of such Receivable.</w:t>
      </w:r>
    </w:p>
    <w:p>
      <w:pPr>
        <w:pStyle w:val="TextBody"/>
        <w:bidi w:val="0"/>
        <w:spacing w:before="240" w:after="283"/>
        <w:jc w:val="both"/>
        <w:rPr/>
      </w:pPr>
      <w:r>
        <w:rPr>
          <w:color w:val="000000"/>
        </w:rPr>
        <w:t>“</w:t>
      </w:r>
      <w:r>
        <w:rPr>
          <w:rFonts w:ascii="Times New Roman" w:hAnsi="Times New Roman"/>
          <w:color w:val="000000"/>
          <w:sz w:val="24"/>
          <w:u w:val="single"/>
        </w:rPr>
        <w:t>Covered Entity</w:t>
      </w:r>
      <w:r>
        <w:rPr>
          <w:rFonts w:ascii="Times New Roman" w:hAnsi="Times New Roman"/>
          <w:color w:val="000000"/>
          <w:sz w:val="24"/>
        </w:rPr>
        <w:t>” means (a) each of the Seller, the Servicer, each Originator, the Parent, Ashland and each of Ashland’s Subsidiaries and (b) each Person that, directly or indirectly, is in control of a Person described in clause (a) above. For purposes of this definition, control of a Person shall mean the direct or indirect (x) ownership of, or power to vote, 25% or more of the issued and outstanding equity interests having ordinary voting power for the election of directors of such Person or other Persons performing similar functions for such Person, or (y) power to direct or cause the direction of the management and policies of such Person whether by ownership of equity interests, contract or otherwise.</w:t>
      </w:r>
    </w:p>
    <w:p>
      <w:pPr>
        <w:pStyle w:val="TextBody"/>
        <w:bidi w:val="0"/>
        <w:spacing w:before="240" w:after="283"/>
        <w:jc w:val="both"/>
        <w:rPr/>
      </w:pPr>
      <w:r>
        <w:rPr>
          <w:color w:val="000000"/>
        </w:rPr>
        <w:t>“</w:t>
      </w:r>
      <w:r>
        <w:rPr>
          <w:rFonts w:ascii="Times New Roman" w:hAnsi="Times New Roman"/>
          <w:color w:val="000000"/>
          <w:sz w:val="24"/>
          <w:u w:val="single"/>
        </w:rPr>
        <w:t>CP Rate</w:t>
      </w:r>
      <w:r>
        <w:rPr>
          <w:rFonts w:ascii="Times New Roman" w:hAnsi="Times New Roman"/>
          <w:color w:val="000000"/>
          <w:sz w:val="24"/>
        </w:rPr>
        <w:t xml:space="preserve">” means, for any Conduit Purchaser and for any Yield Period for any Portion of Capital (a) the </w:t>
      </w:r>
      <w:r>
        <w:rPr>
          <w:rFonts w:ascii="Times New Roman" w:hAnsi="Times New Roman"/>
          <w:color w:val="000000"/>
          <w:sz w:val="24"/>
          <w:u w:val="single"/>
        </w:rPr>
        <w:t>per annum</w:t>
      </w:r>
      <w:r>
        <w:rPr>
          <w:rFonts w:ascii="Times New Roman" w:hAnsi="Times New Roman"/>
          <w:color w:val="000000"/>
          <w:sz w:val="24"/>
        </w:rPr>
        <w:t xml:space="preserve"> rate equivalent to the weighted average cost (as determined by the applicable Group Agent and which shall include commissions of placement agents and dealers, incremental carrying costs incurred with respect to Notes of such Person maturing on dates other than those on which corresponding funds are received by such Conduit Purchaser, other borrowings by such Conduit Purchaser (other than under any Program Support Agreement) and any other costs associated with the issuance of Notes) of or related to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the issuance of Notes that are allocated, in whole or in part, by the applicable Conduit Purchaser to fund or maintain such Portion of Capital (and which may be also allocated in part to the funding of other assets of such Conduit Purchaser);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if any component of such rate is a discount rate, in calculating the “</w:t>
      </w:r>
      <w:r>
        <w:rPr>
          <w:rFonts w:ascii="Times New Roman" w:hAnsi="Times New Roman"/>
          <w:color w:val="000000"/>
          <w:sz w:val="24"/>
          <w:u w:val="single"/>
        </w:rPr>
        <w:t>CP Rate</w:t>
      </w:r>
      <w:r>
        <w:rPr>
          <w:rFonts w:ascii="Times New Roman" w:hAnsi="Times New Roman"/>
          <w:color w:val="000000"/>
          <w:sz w:val="24"/>
        </w:rPr>
        <w:t xml:space="preserve">” for such Portion of Capital for such Yield Period, the applicable Group Agent shall for such component use the rate resulting from converting such discount rate to an interest bearing equivalent rate </w:t>
      </w:r>
      <w:r>
        <w:rPr>
          <w:rFonts w:ascii="Times New Roman" w:hAnsi="Times New Roman"/>
          <w:color w:val="000000"/>
          <w:sz w:val="24"/>
          <w:u w:val="single"/>
        </w:rPr>
        <w:t>per</w:t>
      </w:r>
      <w:r>
        <w:rPr>
          <w:rFonts w:ascii="Times New Roman" w:hAnsi="Times New Roman"/>
          <w:color w:val="000000"/>
          <w:sz w:val="24"/>
        </w:rPr>
        <w:t xml:space="preserve"> </w:t>
      </w:r>
      <w:r>
        <w:rPr>
          <w:rFonts w:ascii="Times New Roman" w:hAnsi="Times New Roman"/>
          <w:color w:val="000000"/>
          <w:sz w:val="24"/>
          <w:u w:val="single"/>
        </w:rPr>
        <w:t>annum</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notwithstanding anything in this Agreement or the other Transaction Documents to the contrary, the Seller agrees that any amounts payable to Conduit Purchasers in respect of Yield for any Yield Period with respect to any Portion of Capital funded by such Conduit Purchasers at the CP Rate shall include an amount equal to the portion of the face amount of the outstanding Notes issued to fund or maintain such Portion of Capital that corresponds to the portion of the proceeds of such Notes that was used to pay the interest component of maturing Notes issued to fund or maintain such Portion of Capital, to the extent that such Conduit Purchasers had not received payments of interest in respect of such interest component prior to the maturity date of such maturing Notes (for purposes of the foregoing, the “interest component” of Notes equals the excess of the face amount thereof over the net proceeds received by such Conduit Purchaser from the issuance of Notes, except that if such Notes are issued on an interest-bearing basis its “interest component” will equal the amount of interest accruing on such Notes through maturity) or (b) if such Capital (or such portion thereof) is being funded by such Conduit Purchaser on such day other than through the issuance of Notes (including, without limitation, if a Conduit Purchaser is then funding such Capital (or such portion thereof) under a Program Support Agreement), then the Base Rate or (c) any other rate designated as the “CP Rate” for such Conduit Purchaser in the Assumption Agreement or other document pursuant to which such Person becomes a party as a Conduit Purchaser to the Receivables Purchase Agreement, or any other writing or agreement provided by such Conduit Purchaser to the Seller, the Servicer and the applicable Agent from time to time.</w:t>
      </w:r>
    </w:p>
    <w:p>
      <w:pPr>
        <w:pStyle w:val="TextBody"/>
        <w:bidi w:val="0"/>
        <w:spacing w:before="240" w:after="283"/>
        <w:jc w:val="both"/>
        <w:rPr/>
      </w:pPr>
      <w:r>
        <w:rPr>
          <w:color w:val="000000"/>
        </w:rPr>
        <w:t>“</w:t>
      </w:r>
      <w:r>
        <w:rPr>
          <w:rFonts w:ascii="Times New Roman" w:hAnsi="Times New Roman"/>
          <w:color w:val="000000"/>
          <w:sz w:val="24"/>
          <w:u w:val="single"/>
        </w:rPr>
        <w:t>Credit and Collection Policy</w:t>
      </w:r>
      <w:r>
        <w:rPr>
          <w:rFonts w:ascii="Times New Roman" w:hAnsi="Times New Roman"/>
          <w:color w:val="000000"/>
          <w:sz w:val="24"/>
        </w:rPr>
        <w:t xml:space="preserve">” means, as the context may require, those receivables credit and collection policies and practices of the Originators in effect on the Closing Date and described in </w:t>
      </w:r>
      <w:r>
        <w:rPr>
          <w:rFonts w:ascii="Times New Roman" w:hAnsi="Times New Roman"/>
          <w:color w:val="000000"/>
          <w:sz w:val="24"/>
          <w:u w:val="single"/>
        </w:rPr>
        <w:t>Exhibit E</w:t>
      </w:r>
      <w:r>
        <w:rPr>
          <w:rFonts w:ascii="Times New Roman" w:hAnsi="Times New Roman"/>
          <w:color w:val="000000"/>
          <w:sz w:val="24"/>
        </w:rPr>
        <w:t>, as modified in compliance with the Receivables Purchase Agreement and this Agreement.</w:t>
      </w:r>
    </w:p>
    <w:p>
      <w:pPr>
        <w:pStyle w:val="TextBody"/>
        <w:bidi w:val="0"/>
        <w:spacing w:before="240" w:after="283"/>
        <w:jc w:val="left"/>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Credit Impaired</w:t>
      </w:r>
      <w:r>
        <w:rPr>
          <w:rFonts w:ascii="Times New Roman" w:hAnsi="Times New Roman"/>
          <w:color w:val="000000"/>
          <w:sz w:val="24"/>
        </w:rPr>
        <w:t>” means the Obligor: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has been declared insolvent or had a court grant his creditors a final non-appealable right of enforcement or material damages as a result of a missed payment within three years prior to the date of origination or has undergone a debt-restructuring process with regard to his non-performing exposures within three years prior to the date of transfer or assignment of the underlying exposures to the Seller;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was, at the time of origination, where applicable, on a public credit registry of persons with adverse credit history or, where there is no such public credit registry, another credit registry that is available to the Originators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has a credit assessment or a credit score indicating that the risk of contractually agreed payments not being made is significantly higher than for comparable exposures held by the relevant Originator which are not transferred.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Currency Sublimit</w:t>
      </w:r>
      <w:r>
        <w:rPr>
          <w:rFonts w:ascii="Times New Roman" w:hAnsi="Times New Roman"/>
          <w:color w:val="000000"/>
          <w:sz w:val="24"/>
        </w:rPr>
        <w:t>” means, each of (1) the Dollar Sublimit, (2) the Euro Sublimit, (3) the Sterling Sublimit and (4) any other Currency Sublimit for an Alternative Currency as approved in writing by the Administrative Agent. The Currency Sublimits are part of, and not in addition to, the Facility Limit and the aggregate Commitments of all Committed Purchasers.</w:t>
      </w:r>
    </w:p>
    <w:p>
      <w:pPr>
        <w:pStyle w:val="TextBody"/>
        <w:bidi w:val="0"/>
        <w:spacing w:before="240" w:after="283"/>
        <w:jc w:val="both"/>
        <w:rPr/>
      </w:pPr>
      <w:r>
        <w:rPr>
          <w:color w:val="000000"/>
        </w:rPr>
        <w:t>“</w:t>
      </w:r>
      <w:r>
        <w:rPr>
          <w:rFonts w:ascii="Times New Roman" w:hAnsi="Times New Roman"/>
          <w:color w:val="000000"/>
          <w:sz w:val="24"/>
          <w:u w:val="single"/>
        </w:rPr>
        <w:t>Daily 1M SOFR</w:t>
      </w:r>
      <w:r>
        <w:rPr>
          <w:rFonts w:ascii="Times New Roman" w:hAnsi="Times New Roman"/>
          <w:color w:val="000000"/>
          <w:sz w:val="24"/>
        </w:rPr>
        <w:t xml:space="preserve">” means, for any day, the rate per annum determined by the applicable Group Agent equal to the Term SOFR Reference Rate for such day for a one (1) month period, as published by the Term SOFR Administrator; </w:t>
      </w:r>
      <w:r>
        <w:rPr>
          <w:rFonts w:ascii="Times New Roman" w:hAnsi="Times New Roman"/>
          <w:color w:val="000000"/>
          <w:sz w:val="24"/>
          <w:u w:val="single"/>
        </w:rPr>
        <w:t>provided</w:t>
      </w:r>
      <w:r>
        <w:rPr>
          <w:rFonts w:ascii="Times New Roman" w:hAnsi="Times New Roman"/>
          <w:color w:val="000000"/>
          <w:sz w:val="24"/>
        </w:rPr>
        <w:t>, that if Daily 1M SOFR, determined as provided above, would be less than the SOFR Floor, then Daily 1M SOFR shall be deemed to be the SOFR Floor. The rate of interest will be adjusted automatically as of each Business Day based on changes in Daily 1M SOFR without notice to the Seller.</w:t>
      </w:r>
    </w:p>
    <w:p>
      <w:pPr>
        <w:pStyle w:val="TextBody"/>
        <w:bidi w:val="0"/>
        <w:spacing w:before="240" w:after="283"/>
        <w:jc w:val="both"/>
        <w:rPr/>
      </w:pPr>
      <w:r>
        <w:rPr>
          <w:color w:val="000000"/>
        </w:rPr>
        <w:t>“</w:t>
      </w:r>
      <w:r>
        <w:rPr>
          <w:rFonts w:ascii="Times New Roman" w:hAnsi="Times New Roman"/>
          <w:color w:val="000000"/>
          <w:sz w:val="24"/>
          <w:u w:val="single"/>
        </w:rPr>
        <w:t>Daily Simple SOFR</w:t>
      </w:r>
      <w:r>
        <w:rPr>
          <w:rFonts w:ascii="Times New Roman" w:hAnsi="Times New Roman"/>
          <w:color w:val="000000"/>
          <w:sz w:val="24"/>
        </w:rPr>
        <w:t xml:space="preserve">” means, for any day (a “SOFR Rate Day”), the interest rate per annum determined by the applicable Group Agent equal to SOFR for the day (the “SOFR Determination Date”) that is 2 Business Days prior to (i) such SOFR Rate Day if such SOFR Rate Day is a Business Day or (ii) the Business Day immediately preceding such SOFR Rate Day if such SOFR Rate Day is not a Business Day, in each case, as such SOFR is published by the Federal Reserve Bank of New York (or a successor administrator of the secured overnight financing rate) on the website of the Federal Reserve Bank of New York, currently at </w:t>
      </w:r>
      <w:r>
        <w:rPr>
          <w:rFonts w:ascii="Times New Roman" w:hAnsi="Times New Roman"/>
          <w:sz w:val="24"/>
        </w:rPr>
        <w:t>http://www.newyorkfed.org,</w:t>
      </w:r>
      <w:r>
        <w:rPr>
          <w:rFonts w:ascii="Times New Roman" w:hAnsi="Times New Roman"/>
          <w:color w:val="000000"/>
          <w:sz w:val="24"/>
        </w:rPr>
        <w:t xml:space="preserve"> or any successor source identified by the Federal Reserve Bank of New York or its successor administrator for the secured overnight financing rate from time to time. If Daily Simple SOFR as determined above would be less than the SOFR Floor, then Daily Simple SOFR shall be deemed to be the SOFR Floor. If SOFR for any SOFR Determination Date has not been published or replaced with a Benchmark Replacement by 5:00 p.m. (New York City time) on the second Business Day immediately following such SOFR Determination Date, then SOFR for such SOFR Determination Date will be SOFR for the first Business Day preceding such SOFR Determination Date for which SOFR was published in accordance with the definition of “SOFR”; provided that SOFR determined pursuant to this sentence shall be used for purposes of calculating Daily Simple SOFR for no more than 3 consecutive SOFR Rate Days. If and when Daily Simple SOFR as determined above changes, any applicable rate of interest based on Daily Simple SOFR will change automatically without notice to the Seller, effective on the date of any such change.</w:t>
      </w:r>
    </w:p>
    <w:p>
      <w:pPr>
        <w:pStyle w:val="TextBody"/>
        <w:bidi w:val="0"/>
        <w:spacing w:before="240" w:after="283"/>
        <w:jc w:val="both"/>
        <w:rPr/>
      </w:pPr>
      <w:r>
        <w:rPr>
          <w:color w:val="000000"/>
        </w:rPr>
        <w:t>“</w:t>
      </w:r>
      <w:r>
        <w:rPr>
          <w:rFonts w:ascii="Times New Roman" w:hAnsi="Times New Roman"/>
          <w:color w:val="000000"/>
          <w:sz w:val="24"/>
          <w:u w:val="single"/>
        </w:rPr>
        <w:t>Data Protection Laws</w:t>
      </w:r>
      <w:r>
        <w:rPr>
          <w:rFonts w:ascii="Times New Roman" w:hAnsi="Times New Roman"/>
          <w:color w:val="000000"/>
          <w:sz w:val="24"/>
        </w:rPr>
        <w:t>” means (a) in relation to the European Economic Area and the United Kingdom, the GDPR, national legislation implementing and supplementing the GDPR and implementing the Directive on Privacy and Electronic Communications (2002/58/EC), the GDPR as it forms part of the laws of England and Wales, Scotland and Northern Ireland by virtue of section 3 of the European Union (Withdrawal) Act 2018 and the UK Data Protection Act 2018 and any supplementary legislation as the same may be amended, superseded or replaced from time to time; and (b) in relation to other applicable jurisdictions, all laws and regulations in those jurisdictions relating to the processing of personal data and/or protection of privacy as the same may be amended, superseded or replaced from time to time.</w:t>
      </w:r>
    </w:p>
    <w:p>
      <w:pPr>
        <w:pStyle w:val="TextBody"/>
        <w:bidi w:val="0"/>
        <w:spacing w:before="240" w:after="283"/>
        <w:jc w:val="both"/>
        <w:rPr/>
      </w:pPr>
      <w:r>
        <w:rPr>
          <w:color w:val="000000"/>
        </w:rPr>
        <w:t>“</w:t>
      </w:r>
      <w:r>
        <w:rPr>
          <w:rFonts w:ascii="Times New Roman" w:hAnsi="Times New Roman"/>
          <w:color w:val="000000"/>
          <w:sz w:val="24"/>
          <w:u w:val="single"/>
        </w:rPr>
        <w:t>Days’ Sales Outstanding</w:t>
      </w:r>
      <w:r>
        <w:rPr>
          <w:rFonts w:ascii="Times New Roman" w:hAnsi="Times New Roman"/>
          <w:color w:val="000000"/>
          <w:sz w:val="24"/>
        </w:rPr>
        <w:t xml:space="preserve">” means, for any Fiscal Month, an amount computed as of the last day of such Fiscal Month equal to the product, rounded, if necessary, to the nearest whole number, obtained by multiplying (a) 90 </w:t>
      </w:r>
      <w:r>
        <w:rPr>
          <w:rFonts w:ascii="Times New Roman" w:hAnsi="Times New Roman"/>
          <w:color w:val="000000"/>
          <w:sz w:val="24"/>
          <w:u w:val="single"/>
        </w:rPr>
        <w:t>by</w:t>
      </w:r>
      <w:r>
        <w:rPr>
          <w:rFonts w:ascii="Times New Roman" w:hAnsi="Times New Roman"/>
          <w:color w:val="000000"/>
          <w:sz w:val="24"/>
        </w:rPr>
        <w:t xml:space="preserve"> (b) the quotient obtained </w:t>
      </w:r>
      <w:r>
        <w:rPr>
          <w:rFonts w:ascii="Times New Roman" w:hAnsi="Times New Roman"/>
          <w:color w:val="000000"/>
          <w:sz w:val="24"/>
          <w:u w:val="single"/>
        </w:rPr>
        <w:t>by</w:t>
      </w:r>
      <w:r>
        <w:rPr>
          <w:rFonts w:ascii="Times New Roman" w:hAnsi="Times New Roman"/>
          <w:color w:val="000000"/>
          <w:sz w:val="24"/>
        </w:rPr>
        <w:t xml:space="preserve"> dividing (i) the aggregate Outstanding Balance of all Pool Receivables as of the last day of the most recently ended Fiscal Month by (ii) the aggregate amount of sales giving rise to Pool Receivables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originated during the consecutive three month period ended as of the last day of the most recently ended Fiscal Month.</w:t>
      </w:r>
    </w:p>
    <w:p>
      <w:pPr>
        <w:pStyle w:val="TextBody"/>
        <w:bidi w:val="0"/>
        <w:spacing w:before="240" w:after="283"/>
        <w:jc w:val="both"/>
        <w:rPr/>
      </w:pPr>
      <w:r>
        <w:rPr>
          <w:color w:val="000000"/>
        </w:rPr>
        <w:t>“</w:t>
      </w:r>
      <w:r>
        <w:rPr>
          <w:rFonts w:ascii="Times New Roman" w:hAnsi="Times New Roman"/>
          <w:color w:val="000000"/>
          <w:sz w:val="24"/>
          <w:u w:val="single"/>
        </w:rPr>
        <w:t>Debt</w:t>
      </w:r>
      <w:r>
        <w:rPr>
          <w:rFonts w:ascii="Times New Roman" w:hAnsi="Times New Roman"/>
          <w:color w:val="000000"/>
          <w:sz w:val="24"/>
        </w:rPr>
        <w:t>” has the meaning assigned to the term “Indebtedness” in the Ashland Credit Agreement as in effect on the Closing Date and without giving effect to any subsequent amendments thereto.</w:t>
      </w:r>
    </w:p>
    <w:p>
      <w:pPr>
        <w:pStyle w:val="TextBody"/>
        <w:bidi w:val="0"/>
        <w:spacing w:before="240" w:after="283"/>
        <w:jc w:val="both"/>
        <w:rPr/>
      </w:pPr>
      <w:r>
        <w:rPr>
          <w:color w:val="000000"/>
        </w:rPr>
        <w:t>“</w:t>
      </w:r>
      <w:r>
        <w:rPr>
          <w:rFonts w:ascii="Times New Roman" w:hAnsi="Times New Roman"/>
          <w:color w:val="000000"/>
          <w:sz w:val="24"/>
          <w:u w:val="single"/>
        </w:rPr>
        <w:t>Deed of Amendment and Restatement</w:t>
      </w:r>
      <w:r>
        <w:rPr>
          <w:rFonts w:ascii="Times New Roman" w:hAnsi="Times New Roman"/>
          <w:color w:val="000000"/>
          <w:sz w:val="24"/>
        </w:rPr>
        <w:t>” means the deed of amendment and restatement relating to certain Transaction Documents entered into by the Parties hereto dated the Effective Date.</w:t>
      </w:r>
    </w:p>
    <w:p>
      <w:pPr>
        <w:pStyle w:val="TextBody"/>
        <w:bidi w:val="0"/>
        <w:spacing w:before="240" w:after="283"/>
        <w:jc w:val="left"/>
        <w:rPr/>
      </w:pPr>
      <w:r>
        <w:rPr>
          <w:color w:val="000000"/>
        </w:rPr>
        <w:t>“</w:t>
      </w:r>
      <w:r>
        <w:rPr>
          <w:rFonts w:ascii="Times New Roman" w:hAnsi="Times New Roman"/>
          <w:color w:val="000000"/>
          <w:sz w:val="24"/>
          <w:u w:val="single"/>
        </w:rPr>
        <w:t>Deemed Collections</w:t>
      </w:r>
      <w:r>
        <w:rPr>
          <w:rFonts w:ascii="Times New Roman" w:hAnsi="Times New Roman"/>
          <w:color w:val="000000"/>
          <w:sz w:val="24"/>
        </w:rPr>
        <w:t xml:space="preserve">” has the meaning set forth in </w:t>
      </w:r>
      <w:r>
        <w:rPr>
          <w:rFonts w:ascii="Times New Roman" w:hAnsi="Times New Roman"/>
          <w:color w:val="000000"/>
          <w:sz w:val="24"/>
          <w:u w:val="single"/>
        </w:rPr>
        <w:t xml:space="preserve">Section 3.01(d) </w:t>
      </w:r>
      <w:r>
        <w:rPr>
          <w:rFonts w:ascii="Times New Roman" w:hAnsi="Times New Roman"/>
          <w:color w:val="000000"/>
          <w:sz w:val="24"/>
        </w:rPr>
        <w:t>of the Receivables Purchase Agreement.</w:t>
      </w:r>
    </w:p>
    <w:p>
      <w:pPr>
        <w:pStyle w:val="TextBody"/>
        <w:bidi w:val="0"/>
        <w:spacing w:before="240" w:after="283"/>
        <w:jc w:val="both"/>
        <w:rPr/>
      </w:pPr>
      <w:r>
        <w:rPr>
          <w:color w:val="000000"/>
        </w:rPr>
        <w:t>“</w:t>
      </w:r>
      <w:r>
        <w:rPr>
          <w:rFonts w:ascii="Times New Roman" w:hAnsi="Times New Roman"/>
          <w:color w:val="000000"/>
          <w:sz w:val="24"/>
          <w:u w:val="single"/>
        </w:rPr>
        <w:t>Deemed Defaulted Receivable</w:t>
      </w:r>
      <w:r>
        <w:rPr>
          <w:rFonts w:ascii="Times New Roman" w:hAnsi="Times New Roman"/>
          <w:color w:val="000000"/>
          <w:sz w:val="24"/>
        </w:rPr>
        <w:t>” means a Receivable as to which (i) the respective Obligor is an Eligible Obligor and (ii) any payment, or part thereof, remains unpaid for more than 150 days and less than 181 days from the due date for such payment. “</w:t>
      </w:r>
      <w:r>
        <w:rPr>
          <w:rFonts w:ascii="Times New Roman" w:hAnsi="Times New Roman"/>
          <w:color w:val="000000"/>
          <w:sz w:val="24"/>
          <w:u w:val="single"/>
        </w:rPr>
        <w:t>Deemed Financial</w:t>
      </w:r>
      <w:r>
        <w:rPr>
          <w:rFonts w:ascii="Times New Roman" w:hAnsi="Times New Roman"/>
          <w:color w:val="000000"/>
          <w:sz w:val="24"/>
        </w:rPr>
        <w:t xml:space="preserve"> </w:t>
      </w:r>
      <w:r>
        <w:rPr>
          <w:rFonts w:ascii="Times New Roman" w:hAnsi="Times New Roman"/>
          <w:color w:val="000000"/>
          <w:sz w:val="24"/>
          <w:u w:val="single"/>
        </w:rPr>
        <w:t>Covenants</w:t>
      </w:r>
      <w:r>
        <w:rPr>
          <w:rFonts w:ascii="Times New Roman" w:hAnsi="Times New Roman"/>
          <w:color w:val="000000"/>
          <w:sz w:val="24"/>
        </w:rPr>
        <w:t>” means any one of the “financial covenants” set forth in Section 7.11 of the Ashland Credit Agreement (or any replacement or successor to such section or any similar section or sections in any replacement senior credit agreement) as in effect immediately prior to the initial occurrence of any Group Agent and each of its Affiliates, if applicable, ceasing to be a party to the Ashland Credit Agreement as a lender thereunder.</w:t>
      </w:r>
    </w:p>
    <w:p>
      <w:pPr>
        <w:pStyle w:val="TextBody"/>
        <w:bidi w:val="0"/>
        <w:spacing w:before="240" w:after="283"/>
        <w:jc w:val="both"/>
        <w:rPr/>
      </w:pPr>
      <w:r>
        <w:rPr>
          <w:color w:val="000000"/>
        </w:rPr>
        <w:t>“</w:t>
      </w:r>
      <w:r>
        <w:rPr>
          <w:rFonts w:ascii="Times New Roman" w:hAnsi="Times New Roman"/>
          <w:color w:val="000000"/>
          <w:sz w:val="24"/>
          <w:u w:val="single"/>
        </w:rPr>
        <w:t>Delinquency Ratio</w:t>
      </w:r>
      <w:r>
        <w:rPr>
          <w:rFonts w:ascii="Times New Roman" w:hAnsi="Times New Roman"/>
          <w:color w:val="000000"/>
          <w:sz w:val="24"/>
        </w:rPr>
        <w:t xml:space="preserve">” means the ratio (expressed as a percentage and rounded to the nearest 1/100 of 1%, with 5/1000th of 1% rounded upward) computed as of the last day of each Fiscal Month by </w:t>
      </w:r>
      <w:r>
        <w:rPr>
          <w:rFonts w:ascii="Times New Roman" w:hAnsi="Times New Roman"/>
          <w:color w:val="000000"/>
          <w:sz w:val="24"/>
          <w:u w:val="single"/>
        </w:rPr>
        <w:t>dividing</w:t>
      </w:r>
      <w:r>
        <w:rPr>
          <w:rFonts w:ascii="Times New Roman" w:hAnsi="Times New Roman"/>
          <w:color w:val="000000"/>
          <w:sz w:val="24"/>
        </w:rPr>
        <w:t xml:space="preserve">: (a) the sum of the aggregate Outstanding Balance of all Pool Receivables that were Delinquent Receivables on such day, </w:t>
      </w:r>
      <w:r>
        <w:rPr>
          <w:rFonts w:ascii="Times New Roman" w:hAnsi="Times New Roman"/>
          <w:color w:val="000000"/>
          <w:sz w:val="24"/>
          <w:u w:val="single"/>
        </w:rPr>
        <w:t>by</w:t>
      </w:r>
      <w:r>
        <w:rPr>
          <w:rFonts w:ascii="Times New Roman" w:hAnsi="Times New Roman"/>
          <w:color w:val="000000"/>
          <w:sz w:val="24"/>
        </w:rPr>
        <w:t xml:space="preserve"> (b) the aggregate Outstanding Balance of all Pool Receivables on such day.</w:t>
      </w:r>
    </w:p>
    <w:p>
      <w:pPr>
        <w:pStyle w:val="TextBody"/>
        <w:bidi w:val="0"/>
        <w:spacing w:before="240" w:after="283"/>
        <w:jc w:val="both"/>
        <w:rPr/>
      </w:pPr>
      <w:r>
        <w:rPr>
          <w:color w:val="000000"/>
        </w:rPr>
        <w:t>“</w:t>
      </w:r>
      <w:r>
        <w:rPr>
          <w:rFonts w:ascii="Times New Roman" w:hAnsi="Times New Roman"/>
          <w:color w:val="000000"/>
          <w:sz w:val="24"/>
          <w:u w:val="single"/>
        </w:rPr>
        <w:t>Delinquent Receivable</w:t>
      </w:r>
      <w:r>
        <w:rPr>
          <w:rFonts w:ascii="Times New Roman" w:hAnsi="Times New Roman"/>
          <w:color w:val="000000"/>
          <w:sz w:val="24"/>
        </w:rPr>
        <w:t xml:space="preserve">” means a Receivable (other than a Short-Term or Long-Term Re-Aged Receivable) as to which any payment, or part thereof, remains unpaid for more than 60 days from the due date for such payment;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such amount shall be calculated without giving effect to any netting of credits that have not been matched to a particular Receivable for the purposes of aged trial balance reporting.</w:t>
      </w:r>
    </w:p>
    <w:p>
      <w:pPr>
        <w:pStyle w:val="TextBody"/>
        <w:bidi w:val="0"/>
        <w:spacing w:before="240" w:after="283"/>
        <w:jc w:val="both"/>
        <w:rPr/>
      </w:pPr>
      <w:r>
        <w:rPr>
          <w:color w:val="000000"/>
        </w:rPr>
        <w:t>“</w:t>
      </w:r>
      <w:r>
        <w:rPr>
          <w:rFonts w:ascii="Times New Roman" w:hAnsi="Times New Roman"/>
          <w:color w:val="000000"/>
          <w:sz w:val="24"/>
          <w:u w:val="single"/>
        </w:rPr>
        <w:t>Dilution</w:t>
      </w:r>
      <w:r>
        <w:rPr>
          <w:rFonts w:ascii="Times New Roman" w:hAnsi="Times New Roman"/>
          <w:color w:val="000000"/>
          <w:sz w:val="24"/>
        </w:rPr>
        <w:t xml:space="preserve">” means, on any date, an amount equal to the sum, without duplication, of the aggregate reduction effected on such day in the Outstanding Balances of the Receivables attributable to any non-cash items including credits, rebates, billing errors, sales or similar taxes, cash discounts, volume discounts, allowances, disputes (it being understood that a Receivable is “subject to dispute” only if and to the extent that, in the reasonable good faith judgment of the applicable Originator (which shall be exercised in the ordinary course of business) such Obligor’s obligation in respect of such Receivable is reduced on account of any performance failure on the part of such Originator), set-offs, counterclaims, chargebacks, returned or repossessed goods, sales and marketing discounts, warranties, any unapplied credit memos and other adjustments that are made in respect of Obligors </w:t>
      </w:r>
      <w:r>
        <w:rPr>
          <w:rFonts w:ascii="Times New Roman" w:hAnsi="Times New Roman"/>
          <w:i/>
          <w:color w:val="000000"/>
          <w:sz w:val="24"/>
        </w:rPr>
        <w:t xml:space="preserve">provided </w:t>
      </w:r>
      <w:r>
        <w:rPr>
          <w:rFonts w:ascii="Times New Roman" w:hAnsi="Times New Roman"/>
          <w:color w:val="000000"/>
          <w:sz w:val="24"/>
        </w:rPr>
        <w:t>that writeoffs or credits related to an Obligor’s bad credit shall not constitute Dilution; provided, further, that writeoffs or credits related to pricing adjustments shall not constitute Dilution so long as (a) such pricing adjustments are treated as sale reversals and (b) the applicable pricing adjustment is processed the same calendar month during which the related Receivable was generated.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Dilution Horizon Ratio</w:t>
      </w:r>
      <w:r>
        <w:rPr>
          <w:rFonts w:ascii="Times New Roman" w:hAnsi="Times New Roman"/>
          <w:color w:val="000000"/>
          <w:sz w:val="24"/>
        </w:rPr>
        <w:t xml:space="preserve">” means, for any Fiscal Month, the ratio (expressed as a percentage and rounded to the nearest 1/100th of 1%, with 5/1000th of 1% rounded upward) computed as of the last day of such Fiscal Month by </w:t>
      </w:r>
      <w:r>
        <w:rPr>
          <w:rFonts w:ascii="Times New Roman" w:hAnsi="Times New Roman"/>
          <w:color w:val="000000"/>
          <w:sz w:val="24"/>
          <w:u w:val="single"/>
        </w:rPr>
        <w:t>dividing</w:t>
      </w:r>
      <w:r>
        <w:rPr>
          <w:rFonts w:ascii="Times New Roman" w:hAnsi="Times New Roman"/>
          <w:color w:val="000000"/>
          <w:sz w:val="24"/>
        </w:rPr>
        <w:t xml:space="preserve">: (a) the sum of (i) the aggregate initial Outstanding Balance of all Pool Receivables generated by the Originators during such Fiscal Month, </w:t>
      </w:r>
      <w:r>
        <w:rPr>
          <w:rFonts w:ascii="Times New Roman" w:hAnsi="Times New Roman"/>
          <w:color w:val="000000"/>
          <w:sz w:val="24"/>
          <w:u w:val="single"/>
        </w:rPr>
        <w:t>plus</w:t>
      </w:r>
      <w:r>
        <w:rPr>
          <w:rFonts w:ascii="Times New Roman" w:hAnsi="Times New Roman"/>
          <w:color w:val="000000"/>
          <w:sz w:val="24"/>
        </w:rPr>
        <w:t xml:space="preserve"> (ii) the aggregate initial Outstanding Balance of all Pool Receivables generated by the Originators during the preceding Fiscal Month, </w:t>
      </w:r>
      <w:r>
        <w:rPr>
          <w:rFonts w:ascii="Times New Roman" w:hAnsi="Times New Roman"/>
          <w:color w:val="000000"/>
          <w:sz w:val="24"/>
          <w:u w:val="single"/>
        </w:rPr>
        <w:t>by</w:t>
      </w:r>
      <w:r>
        <w:rPr>
          <w:rFonts w:ascii="Times New Roman" w:hAnsi="Times New Roman"/>
          <w:color w:val="000000"/>
          <w:sz w:val="24"/>
        </w:rPr>
        <w:t xml:space="preserve"> (b) the Net Receivables Pool Balance as of the last day of such Fiscal Month. Within thirty (30) days of the completion and the receipt by the Administrative Agent of the results of any annual audit or field exam of the Receivables and the servicing and origination practices of the Servicer and the Originators, the numerator of the Dilution Horizon Ratio may be adjusted by the Administrative Agent upon not less than five (5) Business Days’ notice to the Seller to reflect such number of Fiscal Months as the Administrative Agent reasonably believes best reflects the business practices of the Servicer and the Originators and the actual amount of dilution and Deemed Collections that occur with respect to Pool Receivables based on the weighted average dilution lag calculation completed as part of such audit or field exam.</w:t>
      </w:r>
    </w:p>
    <w:p>
      <w:pPr>
        <w:pStyle w:val="TextBody"/>
        <w:bidi w:val="0"/>
        <w:spacing w:before="240" w:after="283"/>
        <w:jc w:val="both"/>
        <w:rPr/>
      </w:pPr>
      <w:r>
        <w:rPr>
          <w:color w:val="000000"/>
        </w:rPr>
        <w:t>“</w:t>
      </w:r>
      <w:r>
        <w:rPr>
          <w:rFonts w:ascii="Times New Roman" w:hAnsi="Times New Roman"/>
          <w:color w:val="000000"/>
          <w:sz w:val="24"/>
          <w:u w:val="single"/>
        </w:rPr>
        <w:t>Dilution Ratio</w:t>
      </w:r>
      <w:r>
        <w:rPr>
          <w:rFonts w:ascii="Times New Roman" w:hAnsi="Times New Roman"/>
          <w:color w:val="000000"/>
          <w:sz w:val="24"/>
        </w:rPr>
        <w:t xml:space="preserve">” means, for any Fiscal Month, the ratio (expressed as a percentage and rounded to the nearest 1/100th of 1%, with 5/1000th of 1% rounded upward), computed as of the last day of each Fiscal Month by </w:t>
      </w:r>
      <w:r>
        <w:rPr>
          <w:rFonts w:ascii="Times New Roman" w:hAnsi="Times New Roman"/>
          <w:color w:val="000000"/>
          <w:sz w:val="24"/>
          <w:u w:val="single"/>
        </w:rPr>
        <w:t>dividing</w:t>
      </w:r>
      <w:r>
        <w:rPr>
          <w:rFonts w:ascii="Times New Roman" w:hAnsi="Times New Roman"/>
          <w:color w:val="000000"/>
          <w:sz w:val="24"/>
        </w:rPr>
        <w:t xml:space="preserve">: (a) the aggregate amount of decreases in the Outstanding Balance of all Pool Receivables due to Dilution during such Fiscal Month, </w:t>
      </w:r>
      <w:r>
        <w:rPr>
          <w:rFonts w:ascii="Times New Roman" w:hAnsi="Times New Roman"/>
          <w:color w:val="000000"/>
          <w:sz w:val="24"/>
          <w:u w:val="single"/>
        </w:rPr>
        <w:t>by</w:t>
      </w:r>
      <w:r>
        <w:rPr>
          <w:rFonts w:ascii="Times New Roman" w:hAnsi="Times New Roman"/>
          <w:color w:val="000000"/>
          <w:sz w:val="24"/>
        </w:rPr>
        <w:t xml:space="preserve"> (b) the aggregate initial Outstanding Balance of all Pool Receivables generated by the Originators during the Fiscal Month that is two months prior to such Fiscal Month; </w:t>
      </w:r>
      <w:r>
        <w:rPr>
          <w:rFonts w:ascii="Times New Roman" w:hAnsi="Times New Roman"/>
          <w:i/>
          <w:color w:val="000000"/>
          <w:sz w:val="24"/>
        </w:rPr>
        <w:t xml:space="preserve">provided </w:t>
      </w:r>
      <w:r>
        <w:rPr>
          <w:rFonts w:ascii="Times New Roman" w:hAnsi="Times New Roman"/>
          <w:color w:val="000000"/>
          <w:sz w:val="24"/>
        </w:rPr>
        <w:t>that in connection with their receipt of each Due Diligence Audit, the Group Agents in their reasonable credit judgment and after evaluation of the results of such audit may adjust such percentage to an appropriate amount based on such review so long as (x) such increase or decrease is approved by the Majority Group Agents and (y) the Administrative Agent has provided the Seller and the Servicer with at least ten (10) Business Days’ advance notice of such increase or decrease.</w:t>
      </w:r>
    </w:p>
    <w:p>
      <w:pPr>
        <w:pStyle w:val="TextBody"/>
        <w:bidi w:val="0"/>
        <w:spacing w:before="240" w:after="283"/>
        <w:jc w:val="both"/>
        <w:rPr/>
      </w:pPr>
      <w:r>
        <w:rPr>
          <w:color w:val="000000"/>
        </w:rPr>
        <w:t>“</w:t>
      </w:r>
      <w:r>
        <w:rPr>
          <w:rFonts w:ascii="Times New Roman" w:hAnsi="Times New Roman"/>
          <w:color w:val="000000"/>
          <w:sz w:val="24"/>
          <w:u w:val="single"/>
        </w:rPr>
        <w:t>Dilution Reserve Percentage</w:t>
      </w:r>
      <w:r>
        <w:rPr>
          <w:rFonts w:ascii="Times New Roman" w:hAnsi="Times New Roman"/>
          <w:color w:val="000000"/>
          <w:sz w:val="24"/>
        </w:rPr>
        <w:t xml:space="preserve">” means, at any time of determination, the product (expressed as a percentage and rounded to the nearest 1/100 of 1%, with 5/1000th of 1% rounded upward) of (a) the Dilution Horizon Ratio, </w:t>
      </w:r>
      <w:r>
        <w:rPr>
          <w:rFonts w:ascii="Times New Roman" w:hAnsi="Times New Roman"/>
          <w:color w:val="000000"/>
          <w:sz w:val="24"/>
          <w:u w:val="single"/>
        </w:rPr>
        <w:t>multiplied by</w:t>
      </w:r>
      <w:r>
        <w:rPr>
          <w:rFonts w:ascii="Times New Roman" w:hAnsi="Times New Roman"/>
          <w:color w:val="000000"/>
          <w:sz w:val="24"/>
        </w:rPr>
        <w:t xml:space="preserve"> (b) the sum of (i) 2.50 times the Expected Dilution Ratio, and (ii) the Dilution Volatility Component.</w:t>
      </w:r>
    </w:p>
    <w:p>
      <w:pPr>
        <w:pStyle w:val="TextBody"/>
        <w:bidi w:val="0"/>
        <w:spacing w:before="240" w:after="283"/>
        <w:jc w:val="both"/>
        <w:rPr/>
      </w:pPr>
      <w:r>
        <w:rPr>
          <w:color w:val="000000"/>
        </w:rPr>
        <w:t>“</w:t>
      </w:r>
      <w:r>
        <w:rPr>
          <w:rFonts w:ascii="Times New Roman" w:hAnsi="Times New Roman"/>
          <w:color w:val="000000"/>
          <w:sz w:val="24"/>
          <w:u w:val="single"/>
        </w:rPr>
        <w:t>Dilution</w:t>
      </w:r>
      <w:r>
        <w:rPr>
          <w:rFonts w:ascii="Times New Roman" w:hAnsi="Times New Roman"/>
          <w:color w:val="000000"/>
          <w:sz w:val="16"/>
          <w:u w:val="single"/>
        </w:rPr>
        <w:t xml:space="preserve"> </w:t>
      </w:r>
      <w:r>
        <w:rPr>
          <w:rFonts w:ascii="Times New Roman" w:hAnsi="Times New Roman"/>
          <w:color w:val="000000"/>
          <w:sz w:val="24"/>
          <w:u w:val="single"/>
        </w:rPr>
        <w:t>Volatility</w:t>
      </w:r>
      <w:r>
        <w:rPr>
          <w:rFonts w:ascii="Times New Roman" w:hAnsi="Times New Roman"/>
          <w:color w:val="000000"/>
          <w:sz w:val="16"/>
          <w:u w:val="single"/>
        </w:rPr>
        <w:t xml:space="preserve"> </w:t>
      </w:r>
      <w:r>
        <w:rPr>
          <w:rFonts w:ascii="Times New Roman" w:hAnsi="Times New Roman"/>
          <w:color w:val="000000"/>
          <w:sz w:val="24"/>
          <w:u w:val="single"/>
        </w:rPr>
        <w:t>Component</w:t>
      </w:r>
      <w:r>
        <w:rPr>
          <w:rFonts w:ascii="Times New Roman" w:hAnsi="Times New Roman"/>
          <w:color w:val="000000"/>
          <w:sz w:val="16"/>
        </w:rPr>
        <w:t xml:space="preserve">” </w:t>
      </w:r>
      <w:r>
        <w:rPr>
          <w:rFonts w:ascii="Times New Roman" w:hAnsi="Times New Roman"/>
          <w:color w:val="000000"/>
          <w:sz w:val="24"/>
        </w:rPr>
        <w:t>means,</w:t>
      </w:r>
      <w:r>
        <w:rPr>
          <w:rFonts w:ascii="Times New Roman" w:hAnsi="Times New Roman"/>
          <w:color w:val="000000"/>
          <w:sz w:val="16"/>
        </w:rPr>
        <w:t xml:space="preserve"> </w:t>
      </w:r>
      <w:r>
        <w:rPr>
          <w:rFonts w:ascii="Times New Roman" w:hAnsi="Times New Roman"/>
          <w:color w:val="000000"/>
          <w:sz w:val="24"/>
        </w:rPr>
        <w:t>for</w:t>
      </w:r>
      <w:r>
        <w:rPr>
          <w:rFonts w:ascii="Times New Roman" w:hAnsi="Times New Roman"/>
          <w:color w:val="000000"/>
          <w:sz w:val="16"/>
        </w:rPr>
        <w:t xml:space="preserve"> </w:t>
      </w:r>
      <w:r>
        <w:rPr>
          <w:rFonts w:ascii="Times New Roman" w:hAnsi="Times New Roman"/>
          <w:color w:val="000000"/>
          <w:sz w:val="24"/>
        </w:rPr>
        <w:t>any</w:t>
      </w:r>
      <w:r>
        <w:rPr>
          <w:rFonts w:ascii="Times New Roman" w:hAnsi="Times New Roman"/>
          <w:color w:val="000000"/>
          <w:sz w:val="16"/>
        </w:rPr>
        <w:t xml:space="preserve"> </w:t>
      </w:r>
      <w:r>
        <w:rPr>
          <w:rFonts w:ascii="Times New Roman" w:hAnsi="Times New Roman"/>
          <w:color w:val="000000"/>
          <w:sz w:val="24"/>
        </w:rPr>
        <w:t>Fiscal</w:t>
      </w:r>
      <w:r>
        <w:rPr>
          <w:rFonts w:ascii="Times New Roman" w:hAnsi="Times New Roman"/>
          <w:color w:val="000000"/>
          <w:sz w:val="16"/>
        </w:rPr>
        <w:t xml:space="preserve"> </w:t>
      </w:r>
      <w:r>
        <w:rPr>
          <w:rFonts w:ascii="Times New Roman" w:hAnsi="Times New Roman"/>
          <w:color w:val="000000"/>
          <w:sz w:val="24"/>
        </w:rPr>
        <w:t>Month,</w:t>
      </w:r>
      <w:r>
        <w:rPr>
          <w:rFonts w:ascii="Times New Roman" w:hAnsi="Times New Roman"/>
          <w:color w:val="000000"/>
          <w:sz w:val="16"/>
        </w:rPr>
        <w:t xml:space="preserve"> </w:t>
      </w:r>
      <w:r>
        <w:rPr>
          <w:rFonts w:ascii="Times New Roman" w:hAnsi="Times New Roman"/>
          <w:color w:val="000000"/>
          <w:sz w:val="24"/>
        </w:rPr>
        <w:t>the</w:t>
      </w:r>
      <w:r>
        <w:rPr>
          <w:rFonts w:ascii="Times New Roman" w:hAnsi="Times New Roman"/>
          <w:color w:val="000000"/>
          <w:sz w:val="16"/>
        </w:rPr>
        <w:t xml:space="preserve"> </w:t>
      </w:r>
      <w:r>
        <w:rPr>
          <w:rFonts w:ascii="Times New Roman" w:hAnsi="Times New Roman"/>
          <w:color w:val="000000"/>
          <w:sz w:val="24"/>
        </w:rPr>
        <w:t>product</w:t>
      </w:r>
      <w:r>
        <w:rPr>
          <w:rFonts w:ascii="Times New Roman" w:hAnsi="Times New Roman"/>
          <w:color w:val="000000"/>
          <w:sz w:val="16"/>
        </w:rPr>
        <w:t xml:space="preserve"> </w:t>
      </w:r>
      <w:r>
        <w:rPr>
          <w:rFonts w:ascii="Times New Roman" w:hAnsi="Times New Roman"/>
          <w:color w:val="000000"/>
          <w:sz w:val="24"/>
        </w:rPr>
        <w:t>(expressed as</w:t>
      </w:r>
      <w:r>
        <w:rPr>
          <w:rFonts w:ascii="Times New Roman" w:hAnsi="Times New Roman"/>
          <w:color w:val="000000"/>
          <w:sz w:val="16"/>
        </w:rPr>
        <w:t xml:space="preserve"> </w:t>
      </w:r>
      <w:r>
        <w:rPr>
          <w:rFonts w:ascii="Times New Roman" w:hAnsi="Times New Roman"/>
          <w:color w:val="000000"/>
          <w:sz w:val="24"/>
        </w:rPr>
        <w:t>a</w:t>
      </w:r>
      <w:r>
        <w:rPr>
          <w:rFonts w:ascii="Times New Roman" w:hAnsi="Times New Roman"/>
          <w:color w:val="000000"/>
          <w:sz w:val="16"/>
        </w:rPr>
        <w:t xml:space="preserve"> </w:t>
      </w:r>
      <w:r>
        <w:rPr>
          <w:rFonts w:ascii="Times New Roman" w:hAnsi="Times New Roman"/>
          <w:color w:val="000000"/>
          <w:sz w:val="24"/>
        </w:rPr>
        <w:t>percentage)</w:t>
      </w:r>
      <w:r>
        <w:rPr>
          <w:rFonts w:ascii="Times New Roman" w:hAnsi="Times New Roman"/>
          <w:color w:val="000000"/>
          <w:sz w:val="16"/>
        </w:rPr>
        <w:t xml:space="preserve"> </w:t>
      </w:r>
      <w:r>
        <w:rPr>
          <w:rFonts w:ascii="Times New Roman" w:hAnsi="Times New Roman"/>
          <w:color w:val="000000"/>
          <w:sz w:val="24"/>
        </w:rPr>
        <w:t>and</w:t>
      </w:r>
      <w:r>
        <w:rPr>
          <w:rFonts w:ascii="Times New Roman" w:hAnsi="Times New Roman"/>
          <w:color w:val="000000"/>
          <w:sz w:val="16"/>
        </w:rPr>
        <w:t xml:space="preserve"> </w:t>
      </w:r>
      <w:r>
        <w:rPr>
          <w:rFonts w:ascii="Times New Roman" w:hAnsi="Times New Roman"/>
          <w:color w:val="000000"/>
          <w:sz w:val="24"/>
        </w:rPr>
        <w:t>rounded</w:t>
      </w:r>
      <w:r>
        <w:rPr>
          <w:rFonts w:ascii="Times New Roman" w:hAnsi="Times New Roman"/>
          <w:color w:val="000000"/>
          <w:sz w:val="16"/>
        </w:rPr>
        <w:t xml:space="preserve"> </w:t>
      </w:r>
      <w:r>
        <w:rPr>
          <w:rFonts w:ascii="Times New Roman" w:hAnsi="Times New Roman"/>
          <w:color w:val="000000"/>
          <w:sz w:val="24"/>
        </w:rPr>
        <w:t>to</w:t>
      </w:r>
      <w:r>
        <w:rPr>
          <w:rFonts w:ascii="Times New Roman" w:hAnsi="Times New Roman"/>
          <w:color w:val="000000"/>
          <w:sz w:val="16"/>
        </w:rPr>
        <w:t xml:space="preserve"> </w:t>
      </w:r>
      <w:r>
        <w:rPr>
          <w:rFonts w:ascii="Times New Roman" w:hAnsi="Times New Roman"/>
          <w:color w:val="000000"/>
          <w:sz w:val="24"/>
        </w:rPr>
        <w:t>the</w:t>
      </w:r>
      <w:r>
        <w:rPr>
          <w:rFonts w:ascii="Times New Roman" w:hAnsi="Times New Roman"/>
          <w:color w:val="000000"/>
          <w:sz w:val="16"/>
        </w:rPr>
        <w:t xml:space="preserve"> </w:t>
      </w:r>
      <w:r>
        <w:rPr>
          <w:rFonts w:ascii="Times New Roman" w:hAnsi="Times New Roman"/>
          <w:color w:val="000000"/>
          <w:sz w:val="24"/>
        </w:rPr>
        <w:t>nearest</w:t>
      </w:r>
      <w:r>
        <w:rPr>
          <w:rFonts w:ascii="Times New Roman" w:hAnsi="Times New Roman"/>
          <w:color w:val="000000"/>
          <w:sz w:val="16"/>
        </w:rPr>
        <w:t xml:space="preserve"> </w:t>
      </w:r>
      <w:r>
        <w:rPr>
          <w:rFonts w:ascii="Times New Roman" w:hAnsi="Times New Roman"/>
          <w:color w:val="000000"/>
          <w:sz w:val="24"/>
        </w:rPr>
        <w:t>1/100</w:t>
      </w:r>
      <w:r>
        <w:rPr>
          <w:rFonts w:ascii="Times New Roman" w:hAnsi="Times New Roman"/>
          <w:color w:val="000000"/>
          <w:sz w:val="16"/>
        </w:rPr>
        <w:t xml:space="preserve">th </w:t>
      </w:r>
      <w:r>
        <w:rPr>
          <w:rFonts w:ascii="Times New Roman" w:hAnsi="Times New Roman"/>
          <w:color w:val="000000"/>
          <w:sz w:val="24"/>
        </w:rPr>
        <w:t>of</w:t>
      </w:r>
      <w:r>
        <w:rPr>
          <w:rFonts w:ascii="Times New Roman" w:hAnsi="Times New Roman"/>
          <w:color w:val="000000"/>
          <w:sz w:val="16"/>
        </w:rPr>
        <w:t xml:space="preserve"> </w:t>
      </w:r>
      <w:r>
        <w:rPr>
          <w:rFonts w:ascii="Times New Roman" w:hAnsi="Times New Roman"/>
          <w:color w:val="000000"/>
          <w:sz w:val="24"/>
        </w:rPr>
        <w:t>1%,</w:t>
      </w:r>
      <w:r>
        <w:rPr>
          <w:rFonts w:ascii="Times New Roman" w:hAnsi="Times New Roman"/>
          <w:color w:val="000000"/>
          <w:sz w:val="16"/>
        </w:rPr>
        <w:t xml:space="preserve"> </w:t>
      </w:r>
      <w:r>
        <w:rPr>
          <w:rFonts w:ascii="Times New Roman" w:hAnsi="Times New Roman"/>
          <w:color w:val="000000"/>
          <w:sz w:val="24"/>
        </w:rPr>
        <w:t>with</w:t>
      </w:r>
      <w:r>
        <w:rPr>
          <w:rFonts w:ascii="Times New Roman" w:hAnsi="Times New Roman"/>
          <w:color w:val="000000"/>
          <w:sz w:val="16"/>
        </w:rPr>
        <w:t xml:space="preserve"> </w:t>
      </w:r>
      <w:r>
        <w:rPr>
          <w:rFonts w:ascii="Times New Roman" w:hAnsi="Times New Roman"/>
          <w:color w:val="000000"/>
          <w:sz w:val="24"/>
        </w:rPr>
        <w:t>5/1000</w:t>
      </w:r>
      <w:r>
        <w:rPr>
          <w:rFonts w:ascii="Times New Roman" w:hAnsi="Times New Roman"/>
          <w:color w:val="000000"/>
          <w:sz w:val="16"/>
        </w:rPr>
        <w:t xml:space="preserve">th </w:t>
      </w:r>
      <w:r>
        <w:rPr>
          <w:rFonts w:ascii="Times New Roman" w:hAnsi="Times New Roman"/>
          <w:color w:val="000000"/>
          <w:sz w:val="24"/>
        </w:rPr>
        <w:t>of</w:t>
      </w:r>
      <w:r>
        <w:rPr>
          <w:rFonts w:ascii="Times New Roman" w:hAnsi="Times New Roman"/>
          <w:color w:val="000000"/>
          <w:sz w:val="16"/>
        </w:rPr>
        <w:t xml:space="preserve"> </w:t>
      </w:r>
      <w:r>
        <w:rPr>
          <w:rFonts w:ascii="Times New Roman" w:hAnsi="Times New Roman"/>
          <w:color w:val="000000"/>
          <w:sz w:val="24"/>
        </w:rPr>
        <w:t>1%</w:t>
      </w:r>
      <w:r>
        <w:rPr>
          <w:rFonts w:ascii="Times New Roman" w:hAnsi="Times New Roman"/>
          <w:color w:val="000000"/>
          <w:sz w:val="16"/>
        </w:rPr>
        <w:t xml:space="preserve"> </w:t>
      </w:r>
      <w:r>
        <w:rPr>
          <w:rFonts w:ascii="Times New Roman" w:hAnsi="Times New Roman"/>
          <w:color w:val="000000"/>
          <w:sz w:val="24"/>
        </w:rPr>
        <w:t>rounded</w:t>
      </w:r>
      <w:r>
        <w:rPr>
          <w:rFonts w:ascii="Times New Roman" w:hAnsi="Times New Roman"/>
          <w:color w:val="000000"/>
          <w:sz w:val="16"/>
        </w:rPr>
        <w:t xml:space="preserve"> </w:t>
      </w:r>
      <w:r>
        <w:rPr>
          <w:rFonts w:ascii="Times New Roman" w:hAnsi="Times New Roman"/>
          <w:color w:val="000000"/>
          <w:sz w:val="24"/>
        </w:rPr>
        <w:t>upward) of:</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the positive difference, if any, between: (i) the highest average Dilution Ratio for any two (2) consecutive Fiscal Months during the twelve (12) most recent Fiscal Months and (ii) the Expected Dilution Ratio; </w:t>
      </w:r>
      <w:r>
        <w:rPr>
          <w:rFonts w:ascii="Times New Roman" w:hAnsi="Times New Roman"/>
          <w:color w:val="000000"/>
          <w:sz w:val="24"/>
          <w:u w:val="single"/>
        </w:rPr>
        <w:t>multiplied</w:t>
      </w:r>
      <w:r>
        <w:rPr>
          <w:rFonts w:ascii="Times New Roman" w:hAnsi="Times New Roman"/>
          <w:color w:val="000000"/>
          <w:sz w:val="24"/>
        </w:rPr>
        <w:t xml:space="preserve"> </w:t>
      </w:r>
      <w:r>
        <w:rPr>
          <w:rFonts w:ascii="Times New Roman" w:hAnsi="Times New Roman"/>
          <w:color w:val="000000"/>
          <w:sz w:val="24"/>
          <w:u w:val="single"/>
        </w:rPr>
        <w:t>by</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the quotient of (i) the highest average Dilution Ratio for any two (2) consecutive Fiscal Months during the twelve (12) most recent Fiscal Months </w:t>
      </w:r>
      <w:r>
        <w:rPr>
          <w:rFonts w:ascii="Times New Roman" w:hAnsi="Times New Roman"/>
          <w:color w:val="000000"/>
          <w:sz w:val="24"/>
          <w:u w:val="single"/>
        </w:rPr>
        <w:t>divided by</w:t>
      </w:r>
      <w:r>
        <w:rPr>
          <w:rFonts w:ascii="Times New Roman" w:hAnsi="Times New Roman"/>
          <w:color w:val="000000"/>
          <w:sz w:val="24"/>
        </w:rPr>
        <w:t xml:space="preserve"> (ii) the Expected Dilution Ratio,</w:t>
      </w:r>
    </w:p>
    <w:p>
      <w:pPr>
        <w:pStyle w:val="TextBody"/>
        <w:bidi w:val="0"/>
        <w:spacing w:before="240" w:after="283"/>
        <w:jc w:val="both"/>
        <w:rPr>
          <w:rFonts w:ascii="Times New Roman" w:hAnsi="Times New Roman"/>
          <w:sz w:val="24"/>
        </w:rPr>
      </w:pPr>
      <w:r>
        <w:rPr>
          <w:rFonts w:ascii="Times New Roman" w:hAnsi="Times New Roman"/>
          <w:i/>
          <w:color w:val="000000"/>
          <w:sz w:val="24"/>
        </w:rPr>
        <w:t xml:space="preserve">provided </w:t>
      </w:r>
      <w:r>
        <w:rPr>
          <w:rFonts w:ascii="Times New Roman" w:hAnsi="Times New Roman"/>
          <w:color w:val="000000"/>
          <w:sz w:val="24"/>
        </w:rPr>
        <w:t>that in connection with their receipt of each Due Diligence Audit, the Group Agents in their reasonable credit judgment and after evaluation of the results of such audit may adjust such percentage to an appropriate amount based on such review so long as (x) such increase or decrease is approved by the Majority Group Agents and (y) the Administrative Agent has provided the Seller and the Servicer with at least ten (10) Business Days’ advance notice of such increase or decrease.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Dollar Sublimit</w:t>
      </w:r>
      <w:r>
        <w:rPr>
          <w:rFonts w:ascii="Times New Roman" w:hAnsi="Times New Roman"/>
          <w:color w:val="000000"/>
          <w:sz w:val="24"/>
        </w:rPr>
        <w:t>” means, in relation to any Capital denominated in Dollars, up to $80,000,000.</w:t>
      </w:r>
    </w:p>
    <w:p>
      <w:pPr>
        <w:pStyle w:val="TextBody"/>
        <w:bidi w:val="0"/>
        <w:spacing w:before="240" w:after="283"/>
        <w:jc w:val="both"/>
        <w:rPr/>
      </w:pPr>
      <w:r>
        <w:rPr>
          <w:color w:val="000000"/>
        </w:rPr>
        <w:t>“</w:t>
      </w:r>
      <w:r>
        <w:rPr>
          <w:rFonts w:ascii="Times New Roman" w:hAnsi="Times New Roman"/>
          <w:color w:val="000000"/>
          <w:sz w:val="24"/>
          <w:u w:val="single"/>
        </w:rPr>
        <w:t>Dollars</w:t>
      </w:r>
      <w:r>
        <w:rPr>
          <w:rFonts w:ascii="Times New Roman" w:hAnsi="Times New Roman"/>
          <w:color w:val="000000"/>
          <w:sz w:val="24"/>
        </w:rPr>
        <w:t>” and “</w:t>
      </w:r>
      <w:r>
        <w:rPr>
          <w:rFonts w:ascii="Times New Roman" w:hAnsi="Times New Roman"/>
          <w:color w:val="000000"/>
          <w:sz w:val="24"/>
          <w:u w:val="single"/>
        </w:rPr>
        <w:t>$</w:t>
      </w:r>
      <w:r>
        <w:rPr>
          <w:rFonts w:ascii="Times New Roman" w:hAnsi="Times New Roman"/>
          <w:color w:val="000000"/>
          <w:sz w:val="24"/>
        </w:rPr>
        <w:t>” each mean the lawful currency of the United States of America. “Drawn Fee” has the meaning given to that term in the 2026 Fee Letter.</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Due Diligence Audit</w:t>
      </w:r>
      <w:r>
        <w:rPr>
          <w:rFonts w:ascii="Times New Roman" w:hAnsi="Times New Roman"/>
          <w:color w:val="000000"/>
          <w:sz w:val="24"/>
        </w:rPr>
        <w:t xml:space="preserve">” means each audit conducted by the Administrative Agent pursuant to </w:t>
      </w:r>
      <w:r>
        <w:rPr>
          <w:rFonts w:ascii="Times New Roman" w:hAnsi="Times New Roman"/>
          <w:color w:val="000000"/>
          <w:sz w:val="24"/>
          <w:u w:val="single"/>
        </w:rPr>
        <w:t>Section 2.01(f)</w:t>
      </w:r>
      <w:r>
        <w:rPr>
          <w:rFonts w:ascii="Times New Roman" w:hAnsi="Times New Roman"/>
          <w:color w:val="000000"/>
          <w:sz w:val="24"/>
        </w:rPr>
        <w:t xml:space="preserve"> of the Receivables Purchase Agreement.</w:t>
      </w:r>
    </w:p>
    <w:p>
      <w:pPr>
        <w:pStyle w:val="TextBody"/>
        <w:bidi w:val="0"/>
        <w:spacing w:before="240" w:after="283"/>
        <w:jc w:val="both"/>
        <w:rPr/>
      </w:pPr>
      <w:r>
        <w:rPr>
          <w:color w:val="000000"/>
        </w:rPr>
        <w:t>“</w:t>
      </w:r>
      <w:r>
        <w:rPr>
          <w:rFonts w:ascii="Times New Roman" w:hAnsi="Times New Roman"/>
          <w:color w:val="000000"/>
          <w:sz w:val="24"/>
          <w:u w:val="single"/>
        </w:rPr>
        <w:t>EEA Financial Institution</w:t>
      </w:r>
      <w:r>
        <w:rPr>
          <w:rFonts w:ascii="Times New Roman" w:hAnsi="Times New Roman"/>
          <w:color w:val="000000"/>
          <w:sz w:val="24"/>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240" w:after="283"/>
        <w:jc w:val="both"/>
        <w:rPr/>
      </w:pPr>
      <w:r>
        <w:rPr>
          <w:color w:val="000000"/>
        </w:rPr>
        <w:t>“</w:t>
      </w:r>
      <w:r>
        <w:rPr>
          <w:rFonts w:ascii="Times New Roman" w:hAnsi="Times New Roman"/>
          <w:color w:val="000000"/>
          <w:sz w:val="24"/>
          <w:u w:val="single"/>
        </w:rPr>
        <w:t>EEA Member Country</w:t>
      </w:r>
      <w:r>
        <w:rPr>
          <w:rFonts w:ascii="Times New Roman" w:hAnsi="Times New Roman"/>
          <w:color w:val="000000"/>
          <w:sz w:val="24"/>
        </w:rPr>
        <w:t>” means any of the member states of the European Union, Iceland, Liechtenstein, and Norway.</w:t>
      </w:r>
    </w:p>
    <w:p>
      <w:pPr>
        <w:pStyle w:val="TextBody"/>
        <w:bidi w:val="0"/>
        <w:spacing w:before="240" w:after="283"/>
        <w:jc w:val="both"/>
        <w:rPr/>
      </w:pPr>
      <w:r>
        <w:rPr>
          <w:color w:val="000000"/>
        </w:rPr>
        <w:t>“</w:t>
      </w:r>
      <w:r>
        <w:rPr>
          <w:rFonts w:ascii="Times New Roman" w:hAnsi="Times New Roman"/>
          <w:color w:val="000000"/>
          <w:sz w:val="24"/>
          <w:u w:val="single"/>
        </w:rPr>
        <w:t>EEA Resolution Authority</w:t>
      </w:r>
      <w:r>
        <w:rPr>
          <w:rFonts w:ascii="Times New Roman" w:hAnsi="Times New Roman"/>
          <w:color w:val="000000"/>
          <w:sz w:val="24"/>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240" w:after="283"/>
        <w:jc w:val="both"/>
        <w:rPr/>
      </w:pPr>
      <w:r>
        <w:rPr>
          <w:color w:val="000000"/>
        </w:rPr>
        <w:t>“</w:t>
      </w:r>
      <w:r>
        <w:rPr>
          <w:rFonts w:ascii="Times New Roman" w:hAnsi="Times New Roman"/>
          <w:color w:val="000000"/>
          <w:sz w:val="24"/>
        </w:rPr>
        <w:t xml:space="preserve">Effective Date” means </w:t>
      </w:r>
      <w:r>
        <w:rPr>
          <w:rFonts w:ascii="Times New Roman" w:hAnsi="Times New Roman"/>
          <w:color w:val="000000"/>
          <w:sz w:val="24"/>
          <w:u w:val="single"/>
        </w:rPr>
        <w:t>24 September</w:t>
      </w:r>
      <w:r>
        <w:rPr>
          <w:rFonts w:ascii="Times New Roman" w:hAnsi="Times New Roman"/>
          <w:color w:val="000000"/>
          <w:sz w:val="24"/>
        </w:rPr>
        <w:t xml:space="preserve"> 2026.</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Eligible Account Bank</w:t>
      </w:r>
      <w:r>
        <w:rPr>
          <w:rFonts w:ascii="Times New Roman" w:hAnsi="Times New Roman"/>
          <w:color w:val="000000"/>
          <w:sz w:val="24"/>
        </w:rPr>
        <w:t>” means any depository institution with a short-term unsecured debt rating of at least P-1 from Moody’s, F1 from Fitch and at least A-1 from S&amp;P.</w:t>
      </w:r>
    </w:p>
    <w:p>
      <w:pPr>
        <w:pStyle w:val="TextBody"/>
        <w:bidi w:val="0"/>
        <w:spacing w:before="240" w:after="283"/>
        <w:jc w:val="both"/>
        <w:rPr/>
      </w:pPr>
      <w:r>
        <w:rPr>
          <w:color w:val="000000"/>
        </w:rPr>
        <w:t>“</w:t>
      </w:r>
      <w:r>
        <w:rPr>
          <w:rFonts w:ascii="Times New Roman" w:hAnsi="Times New Roman"/>
          <w:color w:val="000000"/>
          <w:sz w:val="24"/>
          <w:u w:val="single"/>
        </w:rPr>
        <w:t>Eligible Assignee</w:t>
      </w:r>
      <w:r>
        <w:rPr>
          <w:rFonts w:ascii="Times New Roman" w:hAnsi="Times New Roman"/>
          <w:color w:val="000000"/>
          <w:sz w:val="24"/>
        </w:rPr>
        <w:t>” means (i) any Committed Purchaser or any of its Affiliates, (ii) any Person managed by a Committed Purchaser or any of its Affiliates and (iii) any other financial or other institution.</w:t>
      </w:r>
    </w:p>
    <w:p>
      <w:pPr>
        <w:pStyle w:val="TextBody"/>
        <w:bidi w:val="0"/>
        <w:spacing w:before="240" w:after="283"/>
        <w:jc w:val="both"/>
        <w:rPr/>
      </w:pPr>
      <w:r>
        <w:rPr>
          <w:color w:val="000000"/>
        </w:rPr>
        <w:t>“</w:t>
      </w:r>
      <w:r>
        <w:rPr>
          <w:rFonts w:ascii="Times New Roman" w:hAnsi="Times New Roman"/>
          <w:color w:val="000000"/>
          <w:sz w:val="24"/>
          <w:u w:val="single"/>
        </w:rPr>
        <w:t>Eligible Currency</w:t>
      </w:r>
      <w:r>
        <w:rPr>
          <w:rFonts w:ascii="Times New Roman" w:hAnsi="Times New Roman"/>
          <w:color w:val="000000"/>
          <w:sz w:val="24"/>
        </w:rPr>
        <w:t>” means any lawful currency other than Euros that is readily available, freely transferable and convertible into Euros in the international interbank market available to the Purchasers, as applicable, in such market and as to which a Euros Equivalent may be readily calculated. If, after the designation by the Purchasers, as applicable, of any currency as an Alternative Currency (or if, with respect to any currency that constitutes an Alternative Currency on the Closing Date, after the Closing Date), any change in currency controls or exchange regulations or any change in the national or international financial, political or economic conditions are imposed in the country in which such currency is issued, result in, in the reasonable opinion of the Majority Group Agents (in the case of any Investments to be denominated in an Alternative Currency), (a) such currency no longer being readily available, freely transferable and convertible into Euros, (b) a Euros Equivalent is no longer readily calculable with respect to such currency, (c) providing such currency is impracticable for the Purchasers or (d) no longer a currency in which the Majority Group Agents are willing to make such Investments (each of clauses (a), (b), (c), and (d) a “</w:t>
      </w:r>
      <w:r>
        <w:rPr>
          <w:rFonts w:ascii="Times New Roman" w:hAnsi="Times New Roman"/>
          <w:color w:val="000000"/>
          <w:sz w:val="24"/>
          <w:u w:val="single"/>
        </w:rPr>
        <w:t>Disqualifying Event</w:t>
      </w:r>
      <w:r>
        <w:rPr>
          <w:rFonts w:ascii="Times New Roman" w:hAnsi="Times New Roman"/>
          <w:color w:val="000000"/>
          <w:sz w:val="24"/>
        </w:rPr>
        <w:t xml:space="preserve">”), then the Administrative Agent shall promptly notify the Purchasers, the Seller and Ashland, and such country’s currency shall no longer be an Alternative Currency until such time as the Disqualifying Event(s) no longer exist(s). Within five (5) Business Days after receipt of such notice from the Administrative Agent, the Sellers shall repay all Investments in such currency to which the Disqualifying Event applies or convert such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Investments into the Euro Equivalent of Investments in Euros, subject to the other terms contained herein.</w:t>
      </w:r>
    </w:p>
    <w:p>
      <w:pPr>
        <w:pStyle w:val="TextBody"/>
        <w:bidi w:val="0"/>
        <w:spacing w:before="240" w:after="283"/>
        <w:jc w:val="both"/>
        <w:rPr/>
      </w:pPr>
      <w:r>
        <w:rPr>
          <w:color w:val="000000"/>
        </w:rPr>
        <w:t>“</w:t>
      </w:r>
      <w:r>
        <w:rPr>
          <w:rFonts w:ascii="Times New Roman" w:hAnsi="Times New Roman"/>
          <w:color w:val="000000"/>
          <w:sz w:val="24"/>
          <w:u w:val="single"/>
        </w:rPr>
        <w:t>Eligible Obligor</w:t>
      </w:r>
      <w:r>
        <w:rPr>
          <w:rFonts w:ascii="Times New Roman" w:hAnsi="Times New Roman"/>
          <w:color w:val="000000"/>
          <w:sz w:val="24"/>
        </w:rPr>
        <w:t>” means an Obligor incorporated and located in an Eligible Obligor Country and is not an Excluded Obligor.</w:t>
      </w:r>
    </w:p>
    <w:p>
      <w:pPr>
        <w:pStyle w:val="TextBody"/>
        <w:bidi w:val="0"/>
        <w:spacing w:before="240" w:after="283"/>
        <w:jc w:val="both"/>
        <w:rPr/>
      </w:pPr>
      <w:r>
        <w:rPr>
          <w:color w:val="000000"/>
        </w:rPr>
        <w:t>“</w:t>
      </w:r>
      <w:r>
        <w:rPr>
          <w:rFonts w:ascii="Times New Roman" w:hAnsi="Times New Roman"/>
          <w:color w:val="000000"/>
          <w:sz w:val="24"/>
          <w:u w:val="single"/>
        </w:rPr>
        <w:t>Eligible Obligor Country</w:t>
      </w:r>
      <w:r>
        <w:rPr>
          <w:rFonts w:ascii="Times New Roman" w:hAnsi="Times New Roman"/>
          <w:color w:val="000000"/>
          <w:sz w:val="24"/>
        </w:rPr>
        <w:t>” means each country listed in Schedule IV to the Receivables Purchase Agreement (as such schedule may be modified from time to time by agreement in writing between the Administrative Agent, each Group Agent and the Seller) and is not an Excluded Eligible Obligor Country or an Ultra-High Risk Country.</w:t>
      </w:r>
    </w:p>
    <w:p>
      <w:pPr>
        <w:pStyle w:val="TextBody"/>
        <w:bidi w:val="0"/>
        <w:spacing w:before="240" w:after="283"/>
        <w:jc w:val="both"/>
        <w:rPr/>
      </w:pPr>
      <w:r>
        <w:rPr>
          <w:color w:val="000000"/>
        </w:rPr>
        <w:t>“</w:t>
      </w:r>
      <w:r>
        <w:rPr>
          <w:rFonts w:ascii="Times New Roman" w:hAnsi="Times New Roman"/>
          <w:color w:val="000000"/>
          <w:sz w:val="24"/>
          <w:u w:val="single"/>
        </w:rPr>
        <w:t>Eligible Obligor Country Ratings Grid</w:t>
      </w:r>
      <w:r>
        <w:rPr>
          <w:rFonts w:ascii="Times New Roman" w:hAnsi="Times New Roman"/>
          <w:color w:val="000000"/>
          <w:sz w:val="24"/>
        </w:rPr>
        <w:t xml:space="preserve">” means the list on </w:t>
      </w:r>
      <w:r>
        <w:rPr>
          <w:rFonts w:ascii="Times New Roman" w:hAnsi="Times New Roman"/>
          <w:color w:val="000000"/>
          <w:sz w:val="24"/>
          <w:u w:val="single"/>
        </w:rPr>
        <w:t>Exhibit K</w:t>
      </w:r>
      <w:r>
        <w:rPr>
          <w:rFonts w:ascii="Times New Roman" w:hAnsi="Times New Roman"/>
          <w:color w:val="000000"/>
          <w:sz w:val="24"/>
        </w:rPr>
        <w:t xml:space="preserve"> of the Receivables Purchase Agreement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Seller may from time to time deliver written supplements to the Eligible Obligor Country Ratings Grid and, if such supplements are approved in writing by the Administrative Agent and each Group Agent (each in its sole discretion), such supplements shall supersede the then-existing Eligible Obligor Country Ratings Grid effective as of the date agreed in writing by the Seller and each Group Agent.</w:t>
      </w:r>
    </w:p>
    <w:p>
      <w:pPr>
        <w:pStyle w:val="TextBody"/>
        <w:bidi w:val="0"/>
        <w:spacing w:before="240" w:after="283"/>
        <w:jc w:val="left"/>
        <w:rPr/>
      </w:pPr>
      <w:r>
        <w:rPr>
          <w:color w:val="000000"/>
        </w:rPr>
        <w:t>“</w:t>
      </w:r>
      <w:r>
        <w:rPr>
          <w:rFonts w:ascii="Times New Roman" w:hAnsi="Times New Roman"/>
          <w:color w:val="000000"/>
          <w:sz w:val="24"/>
          <w:u w:val="single"/>
        </w:rPr>
        <w:t>Eligible Receivable</w:t>
      </w:r>
      <w:r>
        <w:rPr>
          <w:rFonts w:ascii="Times New Roman" w:hAnsi="Times New Roman"/>
          <w:color w:val="000000"/>
          <w:sz w:val="24"/>
        </w:rPr>
        <w:t>” means, at any time of determination, (and without duplication) a Pool Receivable: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the Obligor of which is: (i) organized in or that has a head office, registered office or chief executive office located in an Eligible Obligor Country; (ii) not a Sanctioned Person; (iii) not subject to any Insolvency Proceeding; (iv) not an Affiliate of the Seller, the Servicer, the Parent, Ashland or any Originator; (v) not the Obligor with respect to Receivables as to which either (A) any payment, or part thereof, remains unpaid for more than 90 days from the due date for such payment, or (B) that are Charged-Off Receivables, which in either case in the aggregate have an Outstanding Balance exceeding 50% of the aggregate Outstanding Balance of all such Obligor’s Pool Receivables, (vi) not a natural person and (vii) not a material supplier of the Ashland Group or an Affiliate of a material supplier;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for which an Insolvency Proceeding shall not have occurred with respect to the Obligor thereof or any other Person obligated thereon or owning any Related Security with respect thereto;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that is denominated and payable only in Euros or an Alternative Currency, and the Obligor with respect to which has been instructed to remit Collections in respect thereof directly to a Collection Account;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 that does not have a due date which is more than 180 days after the date of origination;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 that (i) arises under a Contract for the sale of goods or services in the ordinary course of the applicable Originator’s business, (ii) does not constitute a loan or other similar financial accommodation being provided by the applicable Originator and (iii) is not a securitized asset;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 that arises under a duly authorized Contract that (i) is in full force and effect, (ii) is governed by the laws of (A) France in the case of the French Originator, (B) Germany or Switzerland in the case of the German Originator, (C) Italy in the case of the Italian Originator, (D) Singapore in the case of the Singaporean Originator, (E) Spain in the case of the Spanish Originator, (F) Switzerland in the case of the Swiss Originator, (G) England in the case of the UK Originator, or (H) Ireland or England in the case of the Irish Originator (iii) is a legal, valid and binding obligation of the related Obligor, enforceable against such Obligor in accordance with its terms, except as such enforceability may be limited by applicable bankruptcy, insolvency, reorganization or other similar laws affecting the enforcement of creditors’ rights generally and by general principles of equity regardless of whether enforceability is considered in a proceeding in equity or at law; (iv) the payments thereunder are free and clear of any, or increased to account for any applicable, withholding Tax or value added, sales, excise or similar Tax; (v) allows full recourse to the relevant Obligor and (vi) may be transferred free of any stamp, registration or similar Taxes;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 that has been transferred by an Originator to the Seller pursuant to the relevant Purchase and Sale Agreement with respect to which transfer all conditions precedent under the relevant Purchase and Sale Agreement have been met;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 that, together with the Contract related thereto, conforms in all material respects with all Applicable Laws (including any applicable laws relating to usury, truth in lending, fair credit billing, fair credit reporting, equal credit opportunity, fair debt collection practices and privacy);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with respect to which all consents, licenses, approvals or authorizations of, or registrations or declarations with or notices to, any Governmental Authority or other Person required to be obtained, effected or given by an Originator in connection with the creation of such Receivable, the execution, delivery and performance by such Originator of the related Contract or the assignment thereof under the relevant Purchase and Sale Agreement have been duly obtained, effected or given and are in full force and effect;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 that is not subject to any existing dispute, litigation, right of rescission, set-off, counterclaim, any other defense against the applicable Originator (or any assignee of such Originator) or Adverse Claim and the Obligor of which holds no right as against the applicable Originator to cause such Originator to repurchase the goods or merchandise, the sale of which shall have given rise to such Receivable;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 that satisfies all applicable requirements of the Credit and Collection Policy;</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(l) that, together with the Contract related thereto, has not been modified, waived or restructured since its creation, except as permitted pursuant to </w:t>
      </w:r>
      <w:r>
        <w:rPr>
          <w:rFonts w:ascii="Times New Roman" w:hAnsi="Times New Roman"/>
          <w:color w:val="000000"/>
          <w:sz w:val="24"/>
          <w:u w:val="single"/>
        </w:rPr>
        <w:t>Section 6.02</w:t>
      </w:r>
      <w:r>
        <w:rPr>
          <w:rFonts w:ascii="Times New Roman" w:hAnsi="Times New Roman"/>
          <w:color w:val="000000"/>
          <w:sz w:val="24"/>
        </w:rPr>
        <w:t xml:space="preserve"> of the Receivables Purchase Agreement); </w:t>
      </w:r>
      <w:r>
        <w:rPr>
          <w:rFonts w:ascii="Times New Roman" w:hAnsi="Times New Roman"/>
          <w:color w:val="000000"/>
          <w:sz w:val="24"/>
          <w:u w:val="single"/>
        </w:rPr>
        <w:t>provided</w:t>
      </w:r>
      <w:r>
        <w:rPr>
          <w:rFonts w:ascii="Times New Roman" w:hAnsi="Times New Roman"/>
          <w:color w:val="000000"/>
          <w:sz w:val="24"/>
        </w:rPr>
        <w:t xml:space="preserve"> that only such portion of such Receivable that is the subject of such modification, waiver or restructuring shall be deemed to be ineligible pursuant to the terms of this </w:t>
      </w:r>
      <w:r>
        <w:rPr>
          <w:rFonts w:ascii="Times New Roman" w:hAnsi="Times New Roman"/>
          <w:color w:val="000000"/>
          <w:sz w:val="24"/>
          <w:u w:val="single"/>
        </w:rPr>
        <w:t>clause (l)</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 in which the Seller owns good and marketable title, free and clear of any Adverse Claims, and that is freely assignable without condition (including without any consent of Ester Finance Technologies, the related Obligor or any Governmental Authority);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 for which the Administrative Agent (on behalf of the Secured Parties) shall have a valid and enforceable first priority ownership or security interest therein and in the Related Security and Collections with respect thereto, in each case free and clear of any Adverse Claim;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 that is not a Receivable as to which payment, or part thereof, remains unpaid for more than 90 days from the due date for such payments;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 that is not a Charged-Off Receivable;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(q) that is not a Long-Term Re-Aged Receivable;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 that is not owing from an Excluded Obligor;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 for which no Originator, the Seller, the Parent, Ashland, Performance Guarantor or the Servicer has established any offset or netting arrangements (including customer deposits and advance payments (including payments relating to unearned revenues)) with the related Obligor in connection with the ordinary course of payment of such Receivable; </w:t>
      </w:r>
      <w:r>
        <w:rPr>
          <w:rFonts w:ascii="Times New Roman" w:hAnsi="Times New Roman"/>
          <w:color w:val="000000"/>
          <w:sz w:val="24"/>
          <w:u w:val="single"/>
        </w:rPr>
        <w:t>provided</w:t>
      </w:r>
      <w:r>
        <w:rPr>
          <w:rFonts w:ascii="Times New Roman" w:hAnsi="Times New Roman"/>
          <w:color w:val="000000"/>
          <w:sz w:val="24"/>
        </w:rPr>
        <w:t xml:space="preserve"> that, if such Receivable is subject to any offset or netting arrangements, only the portion of such Receivable that is the subject of such offset or netting arrangements shall be deemed to be ineligible pursuant to the terms of this </w:t>
      </w:r>
      <w:r>
        <w:rPr>
          <w:rFonts w:ascii="Times New Roman" w:hAnsi="Times New Roman"/>
          <w:color w:val="000000"/>
          <w:sz w:val="24"/>
          <w:u w:val="single"/>
        </w:rPr>
        <w:t>clause ((t))</w:t>
      </w:r>
      <w:r>
        <w:rPr>
          <w:rFonts w:ascii="Times New Roman" w:hAnsi="Times New Roman"/>
          <w:color w:val="000000"/>
          <w:sz w:val="24"/>
        </w:rPr>
        <w: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(t) that represents amounts earned and payable by the Obligor that are not subject to the performance of additional services by the Originator thereof or by the Seller (other than the delivery of the related goods or merchandise with respect to In-Transit Receivables) and the related goods or merchandise shall have been shipped and/or services performed; </w:t>
      </w:r>
      <w:r>
        <w:rPr>
          <w:rFonts w:ascii="Times New Roman" w:hAnsi="Times New Roman"/>
          <w:i/>
          <w:color w:val="000000"/>
          <w:sz w:val="24"/>
        </w:rPr>
        <w:t>provided</w:t>
      </w:r>
      <w:r>
        <w:rPr>
          <w:rFonts w:ascii="Times New Roman" w:hAnsi="Times New Roman"/>
          <w:color w:val="000000"/>
          <w:sz w:val="24"/>
        </w:rPr>
        <w:t>, that if such Receivable is subject to the performance of additional services, only the portion of such Receivable attributable to such additional services shall be ineligible;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 which (i) does not arise from a sale of accounts made as part of a sale of a business or constitute an assignment for the purpose of collection only, (ii) is not a transfer of a single account made in whole or partial satisfaction of a preexisting indebtedness or an assignment of a right to payment under a contract to an assignee that is also obligated to perform under the contract and (iii) is not a transfer of an interest in or an assignment of a claim under a policy of insurance;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 which does not relate to the sale of any consigned goods or finished goods which have incorporated any consigned goods into such finished goods;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 for which the related Originator has recognized the related revenue on its financial books and records in accordance with GAAP;</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 for which neither the related Originator nor any Affiliate thereof is holding any deposits received by or on behalf of the related Obligor; provided that only the portion of such Pool Receivable in an amount equal to such deposits shall be ineligible;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(y) the related credit agreement is not a 'securitisation position' as defined in Article 2(19) of the EU Securitisation Regulation;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(z) the obligations under the Receivable have not been subcontracted to any person;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(aa) the Receivable shall not have been evidenced by a promissory note, bill of exchange or cheque, or any other equivalent transferable instrument under any relevant Applicable Law;</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(bb) the Receivable shall not bear interest in respect of the relevant Obligor;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(cc) to the best knowledge of the Originator the Obligor is not Credit Impaired;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(dd) the Obligor of which is not an ESG Excluded Obligor;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(ee) the Receivable is not an In-Transit Receivable where (A) (i) the Performance Guarantor’s unsecured debt has a public rating from S&amp;P below “BB-”, or (ii) the Performance Guarantor’s unsecured debt has a public rating from Moody’s below “Ba3” and (B) the Administrative Agent (acting on the instruction of the Majority Group Agents) has informed the Seller in writing that In-Transit Receivables are no longer Eligible Receivables;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(ff) is not a Receivable originated by the Singaporean Originator where the Singaporean Originator has failed to enter into a Singapore Collection Account Pledge Agreement and respective JPM Bank Account Control Agreement in a form reasonably acceptable to the Administrative Agent within 30 days of the Closing Date (or such longer date as agreed in writing by the Administrative Agent).</w:t>
      </w:r>
    </w:p>
    <w:p>
      <w:pPr>
        <w:pStyle w:val="TextBody"/>
        <w:bidi w:val="0"/>
        <w:spacing w:before="240" w:after="283"/>
        <w:jc w:val="both"/>
        <w:rPr/>
      </w:pPr>
      <w:r>
        <w:rPr>
          <w:color w:val="000000"/>
        </w:rPr>
        <w:t>“</w:t>
      </w:r>
      <w:r>
        <w:rPr>
          <w:rFonts w:ascii="Times New Roman" w:hAnsi="Times New Roman"/>
          <w:color w:val="000000"/>
          <w:sz w:val="24"/>
          <w:u w:val="single"/>
        </w:rPr>
        <w:t>Embargoed Property</w:t>
      </w:r>
      <w:r>
        <w:rPr>
          <w:rFonts w:ascii="Times New Roman" w:hAnsi="Times New Roman"/>
          <w:color w:val="000000"/>
          <w:sz w:val="24"/>
        </w:rPr>
        <w:t>” means any property (a) in which a Sanctioned Person holds a an interest, (b) beneficially owned, directly or indirectly, by a Sanctioned Person, (c) that is due to or from a Sanctioned Person, (d) that is located in a Sanctioned Jurisdiction, or (e) that would otherwise cause any actual violation by any Purchaser Party of any applicable Anti-Terrorism Law if any Purchaser Party were to obtain an encumbrance on, lien on, pledge of or security interest in such property or provide services in consideration of such property.</w:t>
      </w:r>
    </w:p>
    <w:p>
      <w:pPr>
        <w:pStyle w:val="TextBody"/>
        <w:bidi w:val="0"/>
        <w:spacing w:before="240" w:after="283"/>
        <w:jc w:val="both"/>
        <w:rPr/>
      </w:pPr>
      <w:r>
        <w:rPr>
          <w:color w:val="000000"/>
        </w:rPr>
        <w:t>“</w:t>
      </w:r>
      <w:r>
        <w:rPr>
          <w:rFonts w:ascii="Times New Roman" w:hAnsi="Times New Roman"/>
          <w:color w:val="000000"/>
          <w:sz w:val="24"/>
          <w:u w:val="single"/>
        </w:rPr>
        <w:t>Environmental Laws</w:t>
      </w:r>
      <w:r>
        <w:rPr>
          <w:rFonts w:ascii="Times New Roman" w:hAnsi="Times New Roman"/>
          <w:color w:val="000000"/>
          <w:sz w:val="24"/>
        </w:rPr>
        <w:t>” means any and all Federal, state, local, and foreign statutes, laws (including common law), regulations, standards, ordinances, rules, judgments, interpretations, orders, decrees, permits, concessions, grants, franchises, licenses, agreements or governmental restrictions relating to pollution and the protection of human health and safety, the environment and natural resources or the release of any materials into the environment, including those related to hazardous substances or wastes, air emissions and discharges to waste or public systems.</w:t>
      </w:r>
    </w:p>
    <w:p>
      <w:pPr>
        <w:pStyle w:val="TextBody"/>
        <w:bidi w:val="0"/>
        <w:spacing w:before="240" w:after="283"/>
        <w:jc w:val="both"/>
        <w:rPr/>
      </w:pPr>
      <w:r>
        <w:rPr>
          <w:color w:val="000000"/>
        </w:rPr>
        <w:t>“</w:t>
      </w:r>
      <w:r>
        <w:rPr>
          <w:rFonts w:ascii="Times New Roman" w:hAnsi="Times New Roman"/>
          <w:color w:val="000000"/>
          <w:sz w:val="24"/>
          <w:u w:val="single"/>
        </w:rPr>
        <w:t>ERISA</w:t>
      </w:r>
      <w:r>
        <w:rPr>
          <w:rFonts w:ascii="Times New Roman" w:hAnsi="Times New Roman"/>
          <w:color w:val="000000"/>
          <w:sz w:val="24"/>
        </w:rPr>
        <w:t>” means the Employee Retirement Income Security Act of 1974, as amended from time to time, and any rule or regulation issued thereunder.</w:t>
      </w:r>
    </w:p>
    <w:p>
      <w:pPr>
        <w:pStyle w:val="TextBody"/>
        <w:bidi w:val="0"/>
        <w:spacing w:before="240" w:after="283"/>
        <w:jc w:val="both"/>
        <w:rPr/>
      </w:pPr>
      <w:r>
        <w:rPr>
          <w:color w:val="000000"/>
        </w:rPr>
        <w:t>“</w:t>
      </w:r>
      <w:r>
        <w:rPr>
          <w:rFonts w:ascii="Times New Roman" w:hAnsi="Times New Roman"/>
          <w:color w:val="000000"/>
          <w:sz w:val="24"/>
          <w:u w:val="single"/>
        </w:rPr>
        <w:t>ERISA Affiliate</w:t>
      </w:r>
      <w:r>
        <w:rPr>
          <w:rFonts w:ascii="Times New Roman" w:hAnsi="Times New Roman"/>
          <w:color w:val="000000"/>
          <w:sz w:val="24"/>
        </w:rPr>
        <w:t>” means any corporation, trade or business which together with the Seller, the Servicer, any Originator, the Parent, or Ashland is a member of a controlled group of corporations or a controlled group of trades or businesses and would be deemed a “single employer” within the meaning of Sections 414(b), (c), (m) or O of the Code or Section 4001(b) of ERISA.</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ESG Excluded Obligor</w:t>
      </w:r>
      <w:r>
        <w:rPr>
          <w:rFonts w:ascii="Times New Roman" w:hAnsi="Times New Roman"/>
          <w:color w:val="000000"/>
          <w:sz w:val="24"/>
        </w:rPr>
        <w:t>” means:</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 any Obligor that is known to have been related to human rights abuses, forced labour or child labour;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any Obligor involved in the construction of new coal fired power plants, oil sands projects or oil sand dedicated infrastructure;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any Obligor significantly impacting UNESCO World Heritage Sites;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 any Obligor involved in trade involving endangered species for commercial purposes or endangered species for testing/experimental purposes, animal testing for non-medical purposes or illegal wildlife trade;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 any Obligor involved in the production of asbestos fibres, chemical and biological weapons or any new activity that involves illegal logging;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 any Obligor involved in deforestation or burning tropical forests;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 any Obligor involved in any manner whatsoever in the production of nuclear weapons, cluster weapons, anti-personnel landmines, biological and chemical weapons, white phosphorus, depleted uranium or small arms and light weapons;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 any Obligor active in palm oil production, trading or refining;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any Obligor involved in beaching of ships, financing a buyer of scrap vessels, or involved in any manner whatsoever in ship recycling yards;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 any Obligor involved in any mining of uranium, asbestos or thermal coal mining or trading of any of these;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 or any other criteria required by the Purchasers pursuant to their respective internal policies and guidelines, as amended from time to time, in each case acting reasonably and after due notification to Ashland and the Seller.</w:t>
      </w:r>
    </w:p>
    <w:p>
      <w:pPr>
        <w:pStyle w:val="TextBody"/>
        <w:bidi w:val="0"/>
        <w:spacing w:before="240" w:after="283"/>
        <w:jc w:val="both"/>
        <w:rPr/>
      </w:pPr>
      <w:r>
        <w:rPr>
          <w:color w:val="000000"/>
        </w:rPr>
        <w:t>“</w:t>
      </w:r>
      <w:r>
        <w:rPr>
          <w:rFonts w:ascii="Times New Roman" w:hAnsi="Times New Roman"/>
          <w:color w:val="000000"/>
          <w:sz w:val="24"/>
          <w:u w:val="single"/>
        </w:rPr>
        <w:t>EU Bail-In Legislation Schedule</w:t>
      </w:r>
      <w:r>
        <w:rPr>
          <w:rFonts w:ascii="Times New Roman" w:hAnsi="Times New Roman"/>
          <w:color w:val="000000"/>
          <w:sz w:val="24"/>
        </w:rPr>
        <w:t>” means the EU Bail-In Legislation Schedule published by the Loan Market Association (or any successor person), as in effect from time to time.</w:t>
      </w:r>
    </w:p>
    <w:p>
      <w:pPr>
        <w:pStyle w:val="TextBody"/>
        <w:bidi w:val="0"/>
        <w:spacing w:before="240" w:after="283"/>
        <w:jc w:val="both"/>
        <w:rPr/>
      </w:pPr>
      <w:r>
        <w:rPr>
          <w:color w:val="000000"/>
        </w:rPr>
        <w:t>“</w:t>
      </w:r>
      <w:r>
        <w:rPr>
          <w:rFonts w:ascii="Times New Roman" w:hAnsi="Times New Roman"/>
          <w:color w:val="000000"/>
          <w:sz w:val="24"/>
          <w:u w:val="single"/>
        </w:rPr>
        <w:t>EU Securitisation Regulation</w:t>
      </w:r>
      <w:r>
        <w:rPr>
          <w:rFonts w:ascii="Times New Roman" w:hAnsi="Times New Roman"/>
          <w:color w:val="000000"/>
          <w:sz w:val="24"/>
        </w:rPr>
        <w:t>” means Regulation (EU) 2017/2402, as amended, including (i) relevant regulatory and/or implementing technical standards or delegated regulation, or other applicable national implementing measures in relation thereto (including any applicable transitional provisions); and/or (ii) any relevant guidance and policy statements in relation thereto published by the EBA, the ESMA, the EIOPA, the European Commission and/or the European Central Bank (or their successor), collectively, the European Supervisory Authorities or ESAs, including any applicable guidance and policy statements issued by the Joint Committee of ESAs and/or the European Commission, in each case as amended, varied or substituted from time to time.</w:t>
      </w:r>
    </w:p>
    <w:p>
      <w:pPr>
        <w:pStyle w:val="TextBody"/>
        <w:bidi w:val="0"/>
        <w:spacing w:before="240" w:after="283"/>
        <w:jc w:val="both"/>
        <w:rPr/>
      </w:pPr>
      <w:r>
        <w:rPr>
          <w:color w:val="000000"/>
        </w:rPr>
        <w:t>“</w:t>
      </w:r>
      <w:r>
        <w:rPr>
          <w:rFonts w:ascii="Times New Roman" w:hAnsi="Times New Roman"/>
          <w:color w:val="000000"/>
          <w:sz w:val="24"/>
          <w:u w:val="single"/>
        </w:rPr>
        <w:t>EURIBOR</w:t>
      </w:r>
      <w:r>
        <w:rPr>
          <w:rFonts w:ascii="Times New Roman" w:hAnsi="Times New Roman"/>
          <w:color w:val="000000"/>
          <w:sz w:val="24"/>
        </w:rPr>
        <w:t xml:space="preserve">” means the rate per annum equal to the Euro Interbank Offered Rate, as published on the applicable Reuters screen page (or such other commercially available source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providing such quotations as may be designated by the Administrative Agent from time to time) on the day that is two TARGET Days preceding the first day of such Yield Period with a term equivalent to such Yield Period.</w:t>
      </w:r>
    </w:p>
    <w:p>
      <w:pPr>
        <w:pStyle w:val="TextBody"/>
        <w:bidi w:val="0"/>
        <w:spacing w:before="240" w:after="283"/>
        <w:jc w:val="left"/>
        <w:rPr/>
      </w:pPr>
      <w:r>
        <w:rPr>
          <w:color w:val="000000"/>
        </w:rPr>
        <w:t>“</w:t>
      </w:r>
      <w:r>
        <w:rPr>
          <w:rFonts w:ascii="Times New Roman" w:hAnsi="Times New Roman"/>
          <w:color w:val="000000"/>
          <w:sz w:val="24"/>
          <w:u w:val="single"/>
        </w:rPr>
        <w:t>Euro</w:t>
      </w:r>
      <w:r>
        <w:rPr>
          <w:rFonts w:ascii="Times New Roman" w:hAnsi="Times New Roman"/>
          <w:color w:val="000000"/>
          <w:sz w:val="24"/>
        </w:rPr>
        <w:t>” and “</w:t>
      </w:r>
      <w:r>
        <w:rPr>
          <w:rFonts w:ascii="Times New Roman" w:hAnsi="Times New Roman"/>
          <w:color w:val="000000"/>
          <w:sz w:val="24"/>
          <w:u w:val="single"/>
        </w:rPr>
        <w:t>€</w:t>
      </w:r>
      <w:r>
        <w:rPr>
          <w:rFonts w:ascii="Times New Roman" w:hAnsi="Times New Roman"/>
          <w:color w:val="000000"/>
          <w:sz w:val="24"/>
        </w:rPr>
        <w:t>” mean the single currency of the Participating Member States.</w:t>
      </w:r>
    </w:p>
    <w:p>
      <w:pPr>
        <w:pStyle w:val="TextBody"/>
        <w:bidi w:val="0"/>
        <w:spacing w:before="240" w:after="283"/>
        <w:jc w:val="both"/>
        <w:rPr/>
      </w:pPr>
      <w:r>
        <w:rPr>
          <w:color w:val="000000"/>
        </w:rPr>
        <w:t>“</w:t>
      </w:r>
      <w:r>
        <w:rPr>
          <w:rFonts w:ascii="Times New Roman" w:hAnsi="Times New Roman"/>
          <w:color w:val="000000"/>
          <w:sz w:val="24"/>
          <w:u w:val="single"/>
        </w:rPr>
        <w:t>Euro Equivalent</w:t>
      </w:r>
      <w:r>
        <w:rPr>
          <w:rFonts w:ascii="Times New Roman" w:hAnsi="Times New Roman"/>
          <w:color w:val="000000"/>
          <w:sz w:val="24"/>
        </w:rPr>
        <w:t>” means, for any amount, at the time of determination thereof, (a) if such amount is expressed in Euros, such amount, (b) if such amount is expressed in an Alternative Currency the equivalent of such amount in Euros determined by using the rate of exchange for the purchase of Euros with the Alternative Currency last provided (either by publication or otherwise provided to the Servicer) by the applicable Bloomberg source (or, if such Bloomberg source is not available, such other publicly available source for displaying exchange rates as determined from time to time by the Administrative Agent) on the date that is two (2) Business Day immediately preceding the date of determination (or if such service ceases to be available or ceases to provide such rate of exchange, the equivalent of such amount in Euros as determined by the Servicer using any method of determination agreed with the Administrative Agent) and (c) if such amount is denominated in any other currency, the equivalent of such amount in Euros as determined by the Servicer using any method of determination agreed with the Administrative Agent.</w:t>
      </w:r>
    </w:p>
    <w:p>
      <w:pPr>
        <w:pStyle w:val="TextBody"/>
        <w:bidi w:val="0"/>
        <w:spacing w:before="240" w:after="283"/>
        <w:jc w:val="both"/>
        <w:rPr/>
      </w:pPr>
      <w:r>
        <w:rPr>
          <w:color w:val="000000"/>
        </w:rPr>
        <w:t>“</w:t>
      </w:r>
      <w:r>
        <w:rPr>
          <w:rFonts w:ascii="Times New Roman" w:hAnsi="Times New Roman"/>
          <w:color w:val="000000"/>
          <w:sz w:val="24"/>
          <w:u w:val="single"/>
        </w:rPr>
        <w:t>Euro Sublimit</w:t>
      </w:r>
      <w:r>
        <w:rPr>
          <w:rFonts w:ascii="Times New Roman" w:hAnsi="Times New Roman"/>
          <w:color w:val="000000"/>
          <w:sz w:val="24"/>
        </w:rPr>
        <w:t>” means in relation to any Capital denominated in Euros, 125,000,000.</w:t>
      </w:r>
    </w:p>
    <w:p>
      <w:pPr>
        <w:pStyle w:val="TextBody"/>
        <w:bidi w:val="0"/>
        <w:spacing w:before="240" w:after="283"/>
        <w:jc w:val="both"/>
        <w:rPr/>
      </w:pPr>
      <w:r>
        <w:rPr>
          <w:color w:val="000000"/>
        </w:rPr>
        <w:t>“</w:t>
      </w:r>
      <w:r>
        <w:rPr>
          <w:rFonts w:ascii="Times New Roman" w:hAnsi="Times New Roman"/>
          <w:color w:val="000000"/>
          <w:sz w:val="24"/>
          <w:u w:val="single"/>
        </w:rPr>
        <w:t>Event of Termination</w:t>
      </w:r>
      <w:r>
        <w:rPr>
          <w:rFonts w:ascii="Times New Roman" w:hAnsi="Times New Roman"/>
          <w:color w:val="000000"/>
          <w:sz w:val="24"/>
        </w:rPr>
        <w:t xml:space="preserve">” has the meaning specified in </w:t>
      </w:r>
      <w:r>
        <w:rPr>
          <w:rFonts w:ascii="Times New Roman" w:hAnsi="Times New Roman"/>
          <w:color w:val="000000"/>
          <w:sz w:val="24"/>
          <w:u w:val="single"/>
        </w:rPr>
        <w:t>Section7.01</w:t>
      </w:r>
      <w:r>
        <w:rPr>
          <w:rFonts w:ascii="Times New Roman" w:hAnsi="Times New Roman"/>
          <w:color w:val="000000"/>
          <w:sz w:val="24"/>
        </w:rPr>
        <w:t xml:space="preserve"> of the Receivables Purchase Agreement. For the avoidance of doubt, any Event of Termination that occurs shall be deemed to be continuing at all times thereafter unless and until waived in accordance with </w:t>
      </w:r>
      <w:r>
        <w:rPr>
          <w:rFonts w:ascii="Times New Roman" w:hAnsi="Times New Roman"/>
          <w:color w:val="000000"/>
          <w:sz w:val="24"/>
          <w:u w:val="single"/>
        </w:rPr>
        <w:t>Section 7.01</w:t>
      </w:r>
      <w:r>
        <w:rPr>
          <w:rFonts w:ascii="Times New Roman" w:hAnsi="Times New Roman"/>
          <w:color w:val="000000"/>
          <w:sz w:val="24"/>
        </w:rPr>
        <w:t xml:space="preserve"> of the Receivables Purchase Agreement.</w:t>
      </w:r>
    </w:p>
    <w:p>
      <w:pPr>
        <w:pStyle w:val="TextBody"/>
        <w:bidi w:val="0"/>
        <w:spacing w:before="240" w:after="283"/>
        <w:jc w:val="left"/>
        <w:rPr/>
      </w:pPr>
      <w:r>
        <w:rPr>
          <w:color w:val="000000"/>
        </w:rPr>
        <w:t>“</w:t>
      </w:r>
      <w:r>
        <w:rPr>
          <w:rFonts w:ascii="Times New Roman" w:hAnsi="Times New Roman"/>
          <w:color w:val="000000"/>
          <w:sz w:val="24"/>
          <w:u w:val="single"/>
        </w:rPr>
        <w:t>Excess Concentration</w:t>
      </w:r>
      <w:r>
        <w:rPr>
          <w:rFonts w:ascii="Times New Roman" w:hAnsi="Times New Roman"/>
          <w:color w:val="000000"/>
          <w:sz w:val="24"/>
        </w:rPr>
        <w:t>” means the sum of the following amounts, without duplication:</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the sum of the amounts calculated for each of the Obligors equal to the excess (if any) of (i) the aggregate Outstanding Balance of the Eligible Receivables of such Obligor, </w:t>
      </w:r>
      <w:r>
        <w:rPr>
          <w:rFonts w:ascii="Times New Roman" w:hAnsi="Times New Roman"/>
          <w:color w:val="000000"/>
          <w:sz w:val="24"/>
          <w:u w:val="single"/>
        </w:rPr>
        <w:t>over</w:t>
      </w:r>
      <w:r>
        <w:rPr>
          <w:rFonts w:ascii="Times New Roman" w:hAnsi="Times New Roman"/>
          <w:color w:val="000000"/>
          <w:sz w:val="24"/>
        </w:rPr>
        <w:t xml:space="preserve"> (ii) the product of (x) such Obligor’s Concentration Percentage, </w:t>
      </w:r>
      <w:r>
        <w:rPr>
          <w:rFonts w:ascii="Times New Roman" w:hAnsi="Times New Roman"/>
          <w:color w:val="000000"/>
          <w:sz w:val="24"/>
          <w:u w:val="single"/>
        </w:rPr>
        <w:t>multiplied</w:t>
      </w:r>
      <w:r>
        <w:rPr>
          <w:rFonts w:ascii="Times New Roman" w:hAnsi="Times New Roman"/>
          <w:color w:val="000000"/>
          <w:sz w:val="24"/>
        </w:rPr>
        <w:t xml:space="preserve"> </w:t>
      </w:r>
      <w:r>
        <w:rPr>
          <w:rFonts w:ascii="Times New Roman" w:hAnsi="Times New Roman"/>
          <w:color w:val="000000"/>
          <w:sz w:val="24"/>
          <w:u w:val="single"/>
        </w:rPr>
        <w:t xml:space="preserve">by </w:t>
      </w:r>
      <w:r>
        <w:rPr>
          <w:rFonts w:ascii="Times New Roman" w:hAnsi="Times New Roman"/>
          <w:color w:val="000000"/>
          <w:sz w:val="24"/>
        </w:rPr>
        <w:t xml:space="preserve">(y) the Adjusted Eligible Receivables Balance; </w:t>
      </w:r>
      <w:r>
        <w:rPr>
          <w:rFonts w:ascii="Times New Roman" w:hAnsi="Times New Roman"/>
          <w:color w:val="000000"/>
          <w:sz w:val="24"/>
          <w:u w:val="single"/>
        </w:rPr>
        <w:t>plus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the excess (if any) of (i) the aggregate Outstanding Balance of all Eligible Receivables, the Obligor of which is a Governmental Authority, </w:t>
      </w:r>
      <w:r>
        <w:rPr>
          <w:rFonts w:ascii="Times New Roman" w:hAnsi="Times New Roman"/>
          <w:color w:val="000000"/>
          <w:sz w:val="24"/>
          <w:u w:val="single"/>
        </w:rPr>
        <w:t>over</w:t>
      </w:r>
      <w:r>
        <w:rPr>
          <w:rFonts w:ascii="Times New Roman" w:hAnsi="Times New Roman"/>
          <w:color w:val="000000"/>
          <w:sz w:val="24"/>
        </w:rPr>
        <w:t xml:space="preserve"> (ii) the product of (x) 1%, </w:t>
      </w:r>
      <w:r>
        <w:rPr>
          <w:rFonts w:ascii="Times New Roman" w:hAnsi="Times New Roman"/>
          <w:color w:val="000000"/>
          <w:sz w:val="24"/>
          <w:u w:val="single"/>
        </w:rPr>
        <w:t>multiplied</w:t>
      </w:r>
      <w:r>
        <w:rPr>
          <w:rFonts w:ascii="Times New Roman" w:hAnsi="Times New Roman"/>
          <w:color w:val="000000"/>
          <w:sz w:val="24"/>
        </w:rPr>
        <w:t xml:space="preserve"> by (y) the Adjusted Eligible Receivables Balance; </w:t>
      </w:r>
      <w:r>
        <w:rPr>
          <w:rFonts w:ascii="Times New Roman" w:hAnsi="Times New Roman"/>
          <w:color w:val="000000"/>
          <w:sz w:val="24"/>
          <w:u w:val="single"/>
        </w:rPr>
        <w:t>plus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(c) the excess (if any) of (i) the aggregate Outstanding Balance of all Eligible Receivables, the Obligor of which is incorporated, organized or existing under the laws of India (or any state, province or other political subdivision thereof), </w:t>
      </w:r>
      <w:r>
        <w:rPr>
          <w:rFonts w:ascii="Times New Roman" w:hAnsi="Times New Roman"/>
          <w:color w:val="000000"/>
          <w:sz w:val="24"/>
          <w:u w:val="single"/>
        </w:rPr>
        <w:t>over</w:t>
      </w:r>
      <w:r>
        <w:rPr>
          <w:rFonts w:ascii="Times New Roman" w:hAnsi="Times New Roman"/>
          <w:color w:val="000000"/>
          <w:sz w:val="24"/>
        </w:rPr>
        <w:t xml:space="preserve"> (ii) the product of (x) 10.00%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xml:space="preserve">, such percentage (A) may be reduced to the then applicable percentage specified for India in the Eligible Obligor Country Ratings Grid by the Administrative Agent or any Group Agent (in each case, acting in its sole discretion) on five (5) Business Days’ prior written notice to the Seller and the Servicer and (B) if so reduced, may be subsequently increased (to not more than 10.00%) with the prior written consent of the Administrative Agent and the Majority Group Agents), </w:t>
      </w:r>
      <w:r>
        <w:rPr>
          <w:rFonts w:ascii="Times New Roman" w:hAnsi="Times New Roman"/>
          <w:color w:val="000000"/>
          <w:sz w:val="24"/>
          <w:u w:val="single"/>
        </w:rPr>
        <w:t>multiplied by</w:t>
      </w:r>
      <w:r>
        <w:rPr>
          <w:rFonts w:ascii="Times New Roman" w:hAnsi="Times New Roman"/>
          <w:color w:val="000000"/>
          <w:sz w:val="24"/>
        </w:rPr>
        <w:t xml:space="preserve"> (y) the Adjusted Eligible Receivables Balance; </w:t>
      </w:r>
      <w:r>
        <w:rPr>
          <w:rFonts w:ascii="Times New Roman" w:hAnsi="Times New Roman"/>
          <w:color w:val="000000"/>
          <w:sz w:val="24"/>
          <w:u w:val="single"/>
        </w:rPr>
        <w:t>plus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(d) the excess (if any) of (i) the aggregate Outstanding Balance of all Eligible Receivables, the Obligor of which is incorporated, organized or existing under the laws of Turkey (or any state, province or other political subdivision thereof), </w:t>
      </w:r>
      <w:r>
        <w:rPr>
          <w:rFonts w:ascii="Times New Roman" w:hAnsi="Times New Roman"/>
          <w:color w:val="000000"/>
          <w:sz w:val="24"/>
          <w:u w:val="single"/>
        </w:rPr>
        <w:t>over</w:t>
      </w:r>
      <w:r>
        <w:rPr>
          <w:rFonts w:ascii="Times New Roman" w:hAnsi="Times New Roman"/>
          <w:color w:val="000000"/>
          <w:sz w:val="24"/>
        </w:rPr>
        <w:t xml:space="preserve"> (ii) the product of (x) 3.0% (</w:t>
      </w:r>
      <w:r>
        <w:rPr>
          <w:rFonts w:ascii="Times New Roman" w:hAnsi="Times New Roman"/>
          <w:color w:val="000000"/>
          <w:sz w:val="24"/>
          <w:u w:val="single"/>
        </w:rPr>
        <w:t>provided that</w:t>
      </w:r>
      <w:r>
        <w:rPr>
          <w:rFonts w:ascii="Times New Roman" w:hAnsi="Times New Roman"/>
          <w:color w:val="000000"/>
          <w:sz w:val="24"/>
        </w:rPr>
        <w:t xml:space="preserve">, such percentage (A) may be reduced to the then applicable percentage specified for Turkey in the Eligible Obligor Country Ratings Grid, or some other agreed amount, by the Administrative Agent or any Group Agent (in each case, acting in its sole discretion) on five (5) Business Days’ prior written notice to the Seller and the Servicer and (B) if so reduced, may be subsequently increased (to not more than 3.0%) with the prior written consent of the Administrative Agent and the Majority Group Agents), </w:t>
      </w:r>
      <w:r>
        <w:rPr>
          <w:rFonts w:ascii="Times New Roman" w:hAnsi="Times New Roman"/>
          <w:color w:val="000000"/>
          <w:sz w:val="24"/>
          <w:u w:val="single"/>
        </w:rPr>
        <w:t>multiplied</w:t>
      </w:r>
      <w:r>
        <w:rPr>
          <w:rFonts w:ascii="Times New Roman" w:hAnsi="Times New Roman"/>
          <w:color w:val="000000"/>
          <w:sz w:val="24"/>
        </w:rPr>
        <w:t xml:space="preserve"> </w:t>
      </w:r>
      <w:r>
        <w:rPr>
          <w:rFonts w:ascii="Times New Roman" w:hAnsi="Times New Roman"/>
          <w:color w:val="000000"/>
          <w:sz w:val="24"/>
          <w:u w:val="single"/>
        </w:rPr>
        <w:t>by</w:t>
      </w:r>
      <w:r>
        <w:rPr>
          <w:rFonts w:ascii="Times New Roman" w:hAnsi="Times New Roman"/>
          <w:color w:val="000000"/>
          <w:sz w:val="24"/>
        </w:rPr>
        <w:t xml:space="preserve"> (y) the Adjusted Eligible Receivables Balance; </w:t>
      </w:r>
      <w:r>
        <w:rPr>
          <w:rFonts w:ascii="Times New Roman" w:hAnsi="Times New Roman"/>
          <w:color w:val="000000"/>
          <w:sz w:val="24"/>
          <w:u w:val="single"/>
        </w:rPr>
        <w:t>plus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(e) the excess (if any) of (i) the aggregate Outstanding Balance of all Eligible Receivables, the Obligor of which is incorporated, organized or existing under the laws of Egypt (or any state, province or other political subdivision thereof), </w:t>
      </w:r>
      <w:r>
        <w:rPr>
          <w:rFonts w:ascii="Times New Roman" w:hAnsi="Times New Roman"/>
          <w:color w:val="000000"/>
          <w:sz w:val="24"/>
          <w:u w:val="single"/>
        </w:rPr>
        <w:t>over</w:t>
      </w:r>
      <w:r>
        <w:rPr>
          <w:rFonts w:ascii="Times New Roman" w:hAnsi="Times New Roman"/>
          <w:color w:val="000000"/>
          <w:sz w:val="24"/>
        </w:rPr>
        <w:t xml:space="preserve"> (ii) the product of (x) 3.00% (</w:t>
      </w:r>
      <w:r>
        <w:rPr>
          <w:rFonts w:ascii="Times New Roman" w:hAnsi="Times New Roman"/>
          <w:color w:val="000000"/>
          <w:sz w:val="24"/>
          <w:u w:val="single"/>
        </w:rPr>
        <w:t>provided that</w:t>
      </w:r>
      <w:r>
        <w:rPr>
          <w:rFonts w:ascii="Times New Roman" w:hAnsi="Times New Roman"/>
          <w:color w:val="000000"/>
          <w:sz w:val="24"/>
        </w:rPr>
        <w:t xml:space="preserve">, such percentage is a particular concentration limit in respect of Egypt only which may be revoked and/or amended downward to 0.00% at any time at the sole discretion of the Administrative Agent or any Group Agent upon prior written notice (and further, such revocation or downward amendment shall be effective upon delivery of such notice), </w:t>
      </w:r>
      <w:r>
        <w:rPr>
          <w:rFonts w:ascii="Times New Roman" w:hAnsi="Times New Roman"/>
          <w:color w:val="000000"/>
          <w:sz w:val="24"/>
          <w:u w:val="single"/>
        </w:rPr>
        <w:t>multiplied</w:t>
      </w:r>
      <w:r>
        <w:rPr>
          <w:rFonts w:ascii="Times New Roman" w:hAnsi="Times New Roman"/>
          <w:color w:val="000000"/>
          <w:sz w:val="24"/>
        </w:rPr>
        <w:t xml:space="preserve"> </w:t>
      </w:r>
      <w:r>
        <w:rPr>
          <w:rFonts w:ascii="Times New Roman" w:hAnsi="Times New Roman"/>
          <w:color w:val="000000"/>
          <w:sz w:val="24"/>
          <w:u w:val="single"/>
        </w:rPr>
        <w:t>by</w:t>
      </w:r>
      <w:r>
        <w:rPr>
          <w:rFonts w:ascii="Times New Roman" w:hAnsi="Times New Roman"/>
          <w:color w:val="000000"/>
          <w:sz w:val="24"/>
        </w:rPr>
        <w:t xml:space="preserve"> (y) the Adjusted Eligible Receivables Balance; </w:t>
      </w:r>
      <w:r>
        <w:rPr>
          <w:rFonts w:ascii="Times New Roman" w:hAnsi="Times New Roman"/>
          <w:color w:val="000000"/>
          <w:sz w:val="24"/>
          <w:u w:val="single"/>
        </w:rPr>
        <w:t>plus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(f) the excess (if any) of (i) the aggregate Outstanding Balance of all Eligible Receivables, the Obligor of which is incorporated, organized or existing under the laws of a Group A Obligor Country, Group B Obligor Country, Group C Obligor Country, Group D Obligor Country, Group E Obligor Country, Group F Obligor Country or Group G Obligor Country (or any state, province or other political subdivision thereof) (as applicable), </w:t>
      </w:r>
      <w:r>
        <w:rPr>
          <w:rFonts w:ascii="Times New Roman" w:hAnsi="Times New Roman"/>
          <w:color w:val="000000"/>
          <w:sz w:val="24"/>
          <w:u w:val="single"/>
        </w:rPr>
        <w:t>over</w:t>
      </w:r>
      <w:r>
        <w:rPr>
          <w:rFonts w:ascii="Times New Roman" w:hAnsi="Times New Roman"/>
          <w:color w:val="000000"/>
          <w:sz w:val="24"/>
        </w:rPr>
        <w:t xml:space="preserve"> (ii) the product of (x) the then applicable percentage allowed for such Obligor’s applicable country group based on the Eligible Obligor Country Ratings Grid </w:t>
      </w:r>
      <w:r>
        <w:rPr>
          <w:rFonts w:ascii="Times New Roman" w:hAnsi="Times New Roman"/>
          <w:color w:val="000000"/>
          <w:sz w:val="24"/>
          <w:u w:val="single"/>
        </w:rPr>
        <w:t>multiplied</w:t>
      </w:r>
      <w:r>
        <w:rPr>
          <w:rFonts w:ascii="Times New Roman" w:hAnsi="Times New Roman"/>
          <w:color w:val="000000"/>
          <w:sz w:val="24"/>
        </w:rPr>
        <w:t xml:space="preserve"> </w:t>
      </w:r>
      <w:r>
        <w:rPr>
          <w:rFonts w:ascii="Times New Roman" w:hAnsi="Times New Roman"/>
          <w:color w:val="000000"/>
          <w:sz w:val="24"/>
          <w:u w:val="single"/>
        </w:rPr>
        <w:t>by</w:t>
      </w:r>
      <w:r>
        <w:rPr>
          <w:rFonts w:ascii="Times New Roman" w:hAnsi="Times New Roman"/>
          <w:color w:val="000000"/>
          <w:sz w:val="24"/>
        </w:rPr>
        <w:t xml:space="preserve"> (y) the Adjusted Eligible Receivables Balance; </w:t>
      </w:r>
      <w:r>
        <w:rPr>
          <w:rFonts w:ascii="Times New Roman" w:hAnsi="Times New Roman"/>
          <w:color w:val="000000"/>
          <w:sz w:val="24"/>
          <w:u w:val="single"/>
        </w:rPr>
        <w:t>plus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(g) the excess (if any) of (i) the aggregate Outstanding Balance of all Eligible Receivables, the Obligor of which is incorporated, organized or existing under the laws of an Identified Obligor Country (or any state, province or other political subdivision thereof), </w:t>
      </w:r>
      <w:r>
        <w:rPr>
          <w:rFonts w:ascii="Times New Roman" w:hAnsi="Times New Roman"/>
          <w:color w:val="000000"/>
          <w:sz w:val="24"/>
          <w:u w:val="single"/>
        </w:rPr>
        <w:t>over</w:t>
      </w:r>
      <w:r>
        <w:rPr>
          <w:rFonts w:ascii="Times New Roman" w:hAnsi="Times New Roman"/>
          <w:color w:val="000000"/>
          <w:sz w:val="24"/>
        </w:rPr>
        <w:t xml:space="preserve"> (ii) the product of (x) 3.00%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xml:space="preserve">, such percentage (A) may be reduced to the then applicable percentage allowed for such Identified Obligor Country based on the Eligible Obligor Country Ratings Grid (as determined by its long-term foreign currency rating as if it were not an Identified Obligor Country) by the Administrative Agent or any Group Agent (in each case, acting in its sole discretion) on five (5) Business Days’ prior written notice to the Seller and the Servicer and (B) may be increased with the prior written consent of the Administrative Agent and the Majority Group Agents) </w:t>
      </w:r>
      <w:r>
        <w:rPr>
          <w:rFonts w:ascii="Times New Roman" w:hAnsi="Times New Roman"/>
          <w:color w:val="000000"/>
          <w:sz w:val="24"/>
          <w:u w:val="single"/>
        </w:rPr>
        <w:t>multiplied</w:t>
      </w:r>
      <w:r>
        <w:rPr>
          <w:rFonts w:ascii="Times New Roman" w:hAnsi="Times New Roman"/>
          <w:color w:val="000000"/>
          <w:sz w:val="24"/>
        </w:rPr>
        <w:t xml:space="preserve"> </w:t>
      </w:r>
      <w:r>
        <w:rPr>
          <w:rFonts w:ascii="Times New Roman" w:hAnsi="Times New Roman"/>
          <w:color w:val="000000"/>
          <w:sz w:val="24"/>
          <w:u w:val="single"/>
        </w:rPr>
        <w:t>by</w:t>
      </w:r>
      <w:r>
        <w:rPr>
          <w:rFonts w:ascii="Times New Roman" w:hAnsi="Times New Roman"/>
          <w:color w:val="000000"/>
          <w:sz w:val="24"/>
        </w:rPr>
        <w:t xml:space="preserve"> (y) the Adjusted Eligible Receivables Balance; </w:t>
      </w:r>
      <w:r>
        <w:rPr>
          <w:rFonts w:ascii="Times New Roman" w:hAnsi="Times New Roman"/>
          <w:color w:val="000000"/>
          <w:sz w:val="24"/>
          <w:u w:val="single"/>
        </w:rPr>
        <w:t>plus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(h) the sum of the amounts calculated for each of the Obligors which are incorporated, organized or existing under the laws of a Group E Obligor Country or Group F Obligor Country (or any state, province or other political subdivision thereof), equal to the excess (if any) of (i) the aggregate Outstanding Balance of the Eligible Receivables of such Obligors, </w:t>
      </w:r>
      <w:r>
        <w:rPr>
          <w:rFonts w:ascii="Times New Roman" w:hAnsi="Times New Roman"/>
          <w:color w:val="000000"/>
          <w:sz w:val="24"/>
          <w:u w:val="single"/>
        </w:rPr>
        <w:t>over</w:t>
      </w:r>
      <w:r>
        <w:rPr>
          <w:rFonts w:ascii="Times New Roman" w:hAnsi="Times New Roman"/>
          <w:color w:val="000000"/>
          <w:sz w:val="24"/>
        </w:rPr>
        <w:t xml:space="preserve"> (ii) the product of (x) 10.00%, </w:t>
      </w:r>
      <w:r>
        <w:rPr>
          <w:rFonts w:ascii="Times New Roman" w:hAnsi="Times New Roman"/>
          <w:color w:val="000000"/>
          <w:sz w:val="24"/>
          <w:u w:val="single"/>
        </w:rPr>
        <w:t>multiplied</w:t>
      </w:r>
      <w:r>
        <w:rPr>
          <w:rFonts w:ascii="Times New Roman" w:hAnsi="Times New Roman"/>
          <w:color w:val="000000"/>
          <w:sz w:val="24"/>
        </w:rPr>
        <w:t xml:space="preserve"> </w:t>
      </w:r>
      <w:r>
        <w:rPr>
          <w:rFonts w:ascii="Times New Roman" w:hAnsi="Times New Roman"/>
          <w:color w:val="000000"/>
          <w:sz w:val="24"/>
          <w:u w:val="single"/>
        </w:rPr>
        <w:t>by</w:t>
      </w:r>
      <w:r>
        <w:rPr>
          <w:rFonts w:ascii="Times New Roman" w:hAnsi="Times New Roman"/>
          <w:color w:val="000000"/>
          <w:sz w:val="24"/>
        </w:rPr>
        <w:t xml:space="preserve"> (y) the Adjusted Eligible Receivables Balance; </w:t>
      </w:r>
      <w:r>
        <w:rPr>
          <w:rFonts w:ascii="Times New Roman" w:hAnsi="Times New Roman"/>
          <w:color w:val="000000"/>
          <w:sz w:val="24"/>
          <w:u w:val="single"/>
        </w:rPr>
        <w:t>plus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 the excess (if any) of (i) the aggregate Outstanding Balance of all Eligible Receivables as to which remaining payment terms (computed in days and calculated based on the difference between the date of determination and the stated due date for payment)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of invoices are for more than 60 days but less than 91 days, over (ii) the product of (x) 25.0%, multiplied by (y) the Adjusted Eligible Receivables Balance; </w:t>
      </w:r>
      <w:r>
        <w:rPr>
          <w:rFonts w:ascii="Times New Roman" w:hAnsi="Times New Roman"/>
          <w:color w:val="000000"/>
          <w:sz w:val="24"/>
          <w:u w:val="single"/>
        </w:rPr>
        <w:t>plus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(j) the excess (if any) of (i) the aggregate Outstanding Balance of all Eligible Receivables as to which remaining payment terms (computed in days and calculated based on the difference between the date of determination and the stated due date for payment) of invoices are for more than 90 days but less than 121 days, over (ii) the product of (x) 10.0%, multiplied by (y) the Adjusted Eligible Receivables Balance; </w:t>
      </w:r>
      <w:r>
        <w:rPr>
          <w:rFonts w:ascii="Times New Roman" w:hAnsi="Times New Roman"/>
          <w:color w:val="000000"/>
          <w:sz w:val="24"/>
          <w:u w:val="single"/>
        </w:rPr>
        <w:t>plus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(k) the excess (if any) of (i) the aggregate Outstanding Balance of all Eligible Receivables as to which remaining payment terms (computed in days and calculated based on the difference between the date of determination and the stated due date for payment) of invoices are for more than 120 days but less than 181 days, over (ii) the product of (x) 5.0%, multiplied by (y) the Adjusted Eligible Receivables Balance; </w:t>
      </w:r>
      <w:r>
        <w:rPr>
          <w:rFonts w:ascii="Times New Roman" w:hAnsi="Times New Roman"/>
          <w:color w:val="000000"/>
          <w:sz w:val="24"/>
          <w:u w:val="single"/>
        </w:rPr>
        <w:t>plus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(l) the excess (if any) of (i) the aggregate Outstanding Balance of all Eligible Receivables that are In-Transit Receivables, </w:t>
      </w:r>
      <w:r>
        <w:rPr>
          <w:rFonts w:ascii="Times New Roman" w:hAnsi="Times New Roman"/>
          <w:color w:val="000000"/>
          <w:sz w:val="24"/>
          <w:u w:val="single"/>
        </w:rPr>
        <w:t>over</w:t>
      </w:r>
      <w:r>
        <w:rPr>
          <w:rFonts w:ascii="Times New Roman" w:hAnsi="Times New Roman"/>
          <w:color w:val="000000"/>
          <w:sz w:val="24"/>
        </w:rPr>
        <w:t xml:space="preserve"> (ii) the product of (x) 5.0%, </w:t>
      </w:r>
      <w:r>
        <w:rPr>
          <w:rFonts w:ascii="Times New Roman" w:hAnsi="Times New Roman"/>
          <w:color w:val="000000"/>
          <w:sz w:val="24"/>
          <w:u w:val="single"/>
        </w:rPr>
        <w:t>multiplied</w:t>
      </w:r>
      <w:r>
        <w:rPr>
          <w:rFonts w:ascii="Times New Roman" w:hAnsi="Times New Roman"/>
          <w:color w:val="000000"/>
          <w:sz w:val="24"/>
        </w:rPr>
        <w:t xml:space="preserve"> </w:t>
      </w:r>
      <w:r>
        <w:rPr>
          <w:rFonts w:ascii="Times New Roman" w:hAnsi="Times New Roman"/>
          <w:color w:val="000000"/>
          <w:sz w:val="24"/>
          <w:u w:val="single"/>
        </w:rPr>
        <w:t>by</w:t>
      </w:r>
      <w:r>
        <w:rPr>
          <w:rFonts w:ascii="Times New Roman" w:hAnsi="Times New Roman"/>
          <w:color w:val="000000"/>
          <w:sz w:val="24"/>
        </w:rPr>
        <w:t xml:space="preserve"> (y) the Adjusted Eligible Receivables Balance; </w:t>
      </w:r>
      <w:r>
        <w:rPr>
          <w:rFonts w:ascii="Times New Roman" w:hAnsi="Times New Roman"/>
          <w:color w:val="000000"/>
          <w:sz w:val="24"/>
          <w:u w:val="single"/>
        </w:rPr>
        <w:t>plus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(m) the excess (if any) of (i) the aggregate Outstanding Balance of all Eligible Receivables that are Short Term Re-Aged Receivables, over (ii) the product of (x) 5.0%, </w:t>
      </w:r>
      <w:r>
        <w:rPr>
          <w:rFonts w:ascii="Times New Roman" w:hAnsi="Times New Roman"/>
          <w:color w:val="000000"/>
          <w:sz w:val="24"/>
          <w:u w:val="single"/>
        </w:rPr>
        <w:t>multiplied by</w:t>
      </w:r>
      <w:r>
        <w:rPr>
          <w:rFonts w:ascii="Times New Roman" w:hAnsi="Times New Roman"/>
          <w:color w:val="000000"/>
          <w:sz w:val="24"/>
        </w:rPr>
        <w:t xml:space="preserve"> (y) the Adjusted Eligible Receivables Balance.</w:t>
      </w:r>
    </w:p>
    <w:p>
      <w:pPr>
        <w:pStyle w:val="TextBody"/>
        <w:bidi w:val="0"/>
        <w:spacing w:before="240" w:after="283"/>
        <w:jc w:val="both"/>
        <w:rPr/>
      </w:pPr>
      <w:r>
        <w:rPr>
          <w:color w:val="000000"/>
        </w:rPr>
        <w:t>“</w:t>
      </w:r>
      <w:r>
        <w:rPr>
          <w:rFonts w:ascii="Times New Roman" w:hAnsi="Times New Roman"/>
          <w:color w:val="000000"/>
          <w:sz w:val="24"/>
          <w:u w:val="single"/>
        </w:rPr>
        <w:t>Exchange Act</w:t>
      </w:r>
      <w:r>
        <w:rPr>
          <w:rFonts w:ascii="Times New Roman" w:hAnsi="Times New Roman"/>
          <w:color w:val="000000"/>
          <w:sz w:val="24"/>
        </w:rPr>
        <w:t>” means the Securities Exchange Act of 1934, as amended or otherwise modified from time to time.</w:t>
      </w:r>
    </w:p>
    <w:p>
      <w:pPr>
        <w:pStyle w:val="TextBody"/>
        <w:bidi w:val="0"/>
        <w:spacing w:before="240" w:after="283"/>
        <w:jc w:val="both"/>
        <w:rPr/>
      </w:pPr>
      <w:r>
        <w:rPr>
          <w:color w:val="000000"/>
        </w:rPr>
        <w:t>“</w:t>
      </w:r>
      <w:r>
        <w:rPr>
          <w:rFonts w:ascii="Times New Roman" w:hAnsi="Times New Roman"/>
          <w:color w:val="000000"/>
          <w:sz w:val="24"/>
          <w:u w:val="single"/>
        </w:rPr>
        <w:t>Excluded Eligible Obligor Country</w:t>
      </w:r>
      <w:r>
        <w:rPr>
          <w:rFonts w:ascii="Times New Roman" w:hAnsi="Times New Roman"/>
          <w:color w:val="000000"/>
          <w:sz w:val="24"/>
        </w:rPr>
        <w:t>” means those Eligible Obligor Countries listed from time to time as Excluded Eligible Obligor Countries on the Eligible Obligor Country Ratings Grid.</w:t>
      </w:r>
    </w:p>
    <w:p>
      <w:pPr>
        <w:pStyle w:val="TextBody"/>
        <w:bidi w:val="0"/>
        <w:spacing w:before="240" w:after="283"/>
        <w:jc w:val="both"/>
        <w:rPr/>
      </w:pPr>
      <w:r>
        <w:rPr>
          <w:color w:val="000000"/>
        </w:rPr>
        <w:t>“</w:t>
      </w:r>
      <w:r>
        <w:rPr>
          <w:rFonts w:ascii="Times New Roman" w:hAnsi="Times New Roman"/>
          <w:color w:val="000000"/>
          <w:sz w:val="24"/>
          <w:u w:val="single"/>
        </w:rPr>
        <w:t>Excluded Obligor</w:t>
      </w:r>
      <w:r>
        <w:rPr>
          <w:rFonts w:ascii="Times New Roman" w:hAnsi="Times New Roman"/>
          <w:color w:val="000000"/>
          <w:sz w:val="24"/>
        </w:rPr>
        <w:t>” means each Obligor listed as such in the 2026 Fee Letter and as determined in accordance with the 2026 Fee Letter.</w:t>
      </w:r>
    </w:p>
    <w:p>
      <w:pPr>
        <w:pStyle w:val="TextBody"/>
        <w:bidi w:val="0"/>
        <w:spacing w:before="240" w:after="283"/>
        <w:jc w:val="both"/>
        <w:rPr/>
      </w:pPr>
      <w:r>
        <w:rPr>
          <w:color w:val="000000"/>
        </w:rPr>
        <w:t>“</w:t>
      </w:r>
      <w:r>
        <w:rPr>
          <w:rFonts w:ascii="Times New Roman" w:hAnsi="Times New Roman"/>
          <w:color w:val="000000"/>
          <w:sz w:val="24"/>
          <w:u w:val="single"/>
        </w:rPr>
        <w:t>Excluded Taxes</w:t>
      </w:r>
      <w:r>
        <w:rPr>
          <w:rFonts w:ascii="Times New Roman" w:hAnsi="Times New Roman"/>
          <w:color w:val="000000"/>
          <w:sz w:val="24"/>
        </w:rPr>
        <w:t>” means any of the following Taxes imposed on or with respect to an Affected Person or required to be withheld or deducted from a payment to an Affected Person:(a) Taxes imposed on or measured by net income (however denominated), franchise Taxes and branch profits Taxes, in each case, (i) imposed as a result of such Affected Person being organized under the laws of, or having its principal office or, in the case of any Purchaser, its applicable lending office located in, the jurisdiction imposing such Tax (or any political subdivision thereof) or (ii) that are Other Connection Taxes and (b) any withholding Taxes imposed pursuant to FATCA and (c) in respect of any Affected Person that is entitled to any Yield or interest payments pursuant to the Transaction Documents, any withholding tax imposed by Ireland on a payment under a Transaction Document, if on the date on which the payment falls due, the payment could have been made to such an Affected Person, without such withholding tax if it was an Qualifying Person, but on that date that Affected Person is not or has ceased to be an Qualifying Person other than as a result of any change after the date it became a party to a Transaction Document in (or in the interpretation, administration, or application of) any law or treaty, or any published practice or concession of any relevant taxing authority.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Existing Senior Notes</w:t>
      </w:r>
      <w:r>
        <w:rPr>
          <w:rFonts w:ascii="Times New Roman" w:hAnsi="Times New Roman"/>
          <w:color w:val="000000"/>
          <w:sz w:val="24"/>
        </w:rPr>
        <w:t>” means (i) the 3.375% Senior Notes due 2031 and (ii) the 6.875% Senior Notes due 2043 (in each case, issued by Ashland).</w:t>
      </w:r>
    </w:p>
    <w:p>
      <w:pPr>
        <w:pStyle w:val="TextBody"/>
        <w:bidi w:val="0"/>
        <w:spacing w:before="240" w:after="283"/>
        <w:jc w:val="both"/>
        <w:rPr/>
      </w:pPr>
      <w:r>
        <w:rPr>
          <w:color w:val="000000"/>
        </w:rPr>
        <w:t>“</w:t>
      </w:r>
      <w:r>
        <w:rPr>
          <w:rFonts w:ascii="Times New Roman" w:hAnsi="Times New Roman"/>
          <w:color w:val="000000"/>
          <w:sz w:val="24"/>
          <w:u w:val="single"/>
        </w:rPr>
        <w:t>Existing Senior Notes Documentation</w:t>
      </w:r>
      <w:r>
        <w:rPr>
          <w:rFonts w:ascii="Times New Roman" w:hAnsi="Times New Roman"/>
          <w:color w:val="000000"/>
          <w:sz w:val="24"/>
        </w:rPr>
        <w:t>” means any indenture among Ashland, as issuer, any guarantors party thereto and a trustee with respect to the Existing Senior Notes and all other agreements, instruments and other documents pursuant to the Existing Senior Notes have been or will be issued or otherwise setting forth the terms of the Existing Senior Notes.</w:t>
      </w:r>
    </w:p>
    <w:p>
      <w:pPr>
        <w:pStyle w:val="TextBody"/>
        <w:bidi w:val="0"/>
        <w:spacing w:before="240" w:after="283"/>
        <w:jc w:val="both"/>
        <w:rPr/>
      </w:pPr>
      <w:r>
        <w:rPr>
          <w:color w:val="000000"/>
        </w:rPr>
        <w:t>“</w:t>
      </w:r>
      <w:r>
        <w:rPr>
          <w:rFonts w:ascii="Times New Roman" w:hAnsi="Times New Roman"/>
          <w:color w:val="000000"/>
          <w:sz w:val="24"/>
          <w:u w:val="single"/>
        </w:rPr>
        <w:t>Expected Dilution Ratio</w:t>
      </w:r>
      <w:r>
        <w:rPr>
          <w:rFonts w:ascii="Times New Roman" w:hAnsi="Times New Roman"/>
          <w:color w:val="000000"/>
          <w:sz w:val="24"/>
        </w:rPr>
        <w:t>” means the average of the Dilution Ratios for the twelve (12) most recent Fiscal Months.</w:t>
      </w:r>
    </w:p>
    <w:p>
      <w:pPr>
        <w:pStyle w:val="TextBody"/>
        <w:bidi w:val="0"/>
        <w:spacing w:before="240" w:after="283"/>
        <w:jc w:val="both"/>
        <w:rPr/>
      </w:pPr>
      <w:r>
        <w:rPr>
          <w:color w:val="000000"/>
        </w:rPr>
        <w:t>“</w:t>
      </w:r>
      <w:r>
        <w:rPr>
          <w:rFonts w:ascii="Times New Roman" w:hAnsi="Times New Roman"/>
          <w:color w:val="000000"/>
          <w:sz w:val="24"/>
          <w:u w:val="single"/>
        </w:rPr>
        <w:t>Facility Limit</w:t>
      </w:r>
      <w:r>
        <w:rPr>
          <w:rFonts w:ascii="Times New Roman" w:hAnsi="Times New Roman"/>
          <w:color w:val="000000"/>
          <w:sz w:val="24"/>
        </w:rPr>
        <w:t xml:space="preserve">” means the Euro Equivalent of €125,000,000 as reduced from time to time pursuant to </w:t>
      </w:r>
      <w:r>
        <w:rPr>
          <w:rFonts w:ascii="Times New Roman" w:hAnsi="Times New Roman"/>
          <w:color w:val="000000"/>
          <w:sz w:val="24"/>
          <w:u w:val="single"/>
        </w:rPr>
        <w:t>Section 2.02(e)</w:t>
      </w:r>
      <w:r>
        <w:rPr>
          <w:rFonts w:ascii="Times New Roman" w:hAnsi="Times New Roman"/>
          <w:color w:val="000000"/>
          <w:sz w:val="24"/>
        </w:rPr>
        <w:t xml:space="preserve"> of the Receivables Purchase Agreement. References to the unused portion of the Facility Limit shall mean, at any time of determination, an amount equal to (x) the Facility Limit at such time, </w:t>
      </w:r>
      <w:r>
        <w:rPr>
          <w:rFonts w:ascii="Times New Roman" w:hAnsi="Times New Roman"/>
          <w:color w:val="000000"/>
          <w:sz w:val="24"/>
          <w:u w:val="single"/>
        </w:rPr>
        <w:t>minus</w:t>
      </w:r>
      <w:r>
        <w:rPr>
          <w:rFonts w:ascii="Times New Roman" w:hAnsi="Times New Roman"/>
          <w:color w:val="000000"/>
          <w:sz w:val="24"/>
        </w:rPr>
        <w:t xml:space="preserve"> (y) the Aggregate Capital at such time.</w:t>
      </w:r>
    </w:p>
    <w:p>
      <w:pPr>
        <w:pStyle w:val="TextBody"/>
        <w:bidi w:val="0"/>
        <w:spacing w:before="240" w:after="283"/>
        <w:jc w:val="both"/>
        <w:rPr/>
      </w:pPr>
      <w:r>
        <w:rPr>
          <w:color w:val="000000"/>
        </w:rPr>
        <w:t>“</w:t>
      </w:r>
      <w:r>
        <w:rPr>
          <w:rFonts w:ascii="Times New Roman" w:hAnsi="Times New Roman"/>
          <w:color w:val="000000"/>
          <w:sz w:val="24"/>
          <w:u w:val="single"/>
        </w:rPr>
        <w:t>FATCA</w:t>
      </w:r>
      <w:r>
        <w:rPr>
          <w:rFonts w:ascii="Times New Roman" w:hAnsi="Times New Roman"/>
          <w:color w:val="000000"/>
          <w:sz w:val="24"/>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any applicable intergovernmental agreement entered into between the United States and any other Governmental Authority in connection with the implementation of the foregoing and any fiscal or regulatory legislation, rules or official practices adopted pursuant to any such intergovernmental agreement.</w:t>
      </w:r>
    </w:p>
    <w:p>
      <w:pPr>
        <w:pStyle w:val="TextBody"/>
        <w:bidi w:val="0"/>
        <w:spacing w:before="240" w:after="283"/>
        <w:jc w:val="both"/>
        <w:rPr/>
      </w:pPr>
      <w:r>
        <w:rPr>
          <w:color w:val="000000"/>
        </w:rPr>
        <w:t>“</w:t>
      </w:r>
      <w:r>
        <w:rPr>
          <w:rFonts w:ascii="Times New Roman" w:hAnsi="Times New Roman"/>
          <w:color w:val="000000"/>
          <w:sz w:val="24"/>
          <w:u w:val="single"/>
        </w:rPr>
        <w:t>Federal Funds Rate</w:t>
      </w:r>
      <w:r>
        <w:rPr>
          <w:rFonts w:ascii="Times New Roman" w:hAnsi="Times New Roman"/>
          <w:color w:val="000000"/>
          <w:sz w:val="24"/>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hAnsi="Times New Roman"/>
          <w:color w:val="000000"/>
          <w:sz w:val="24"/>
          <w:u w:val="single"/>
        </w:rPr>
        <w:t>provided</w:t>
      </w:r>
      <w:r>
        <w:rPr>
          <w:rFonts w:ascii="Times New Roman" w:hAnsi="Times New Roman"/>
          <w:color w:val="000000"/>
          <w:sz w:val="24"/>
        </w:rPr>
        <w:t xml:space="preserve"> that if the Federal Funds Rate as so determined would be less than zero, such rate shall be deemed to be zero for purposes of this Agreement.</w:t>
      </w:r>
    </w:p>
    <w:p>
      <w:pPr>
        <w:pStyle w:val="TextBody"/>
        <w:bidi w:val="0"/>
        <w:spacing w:before="240" w:after="283"/>
        <w:jc w:val="both"/>
        <w:rPr/>
      </w:pPr>
      <w:r>
        <w:rPr>
          <w:color w:val="000000"/>
        </w:rPr>
        <w:t>“</w:t>
      </w:r>
      <w:r>
        <w:rPr>
          <w:rFonts w:ascii="Times New Roman" w:hAnsi="Times New Roman"/>
          <w:color w:val="000000"/>
          <w:sz w:val="24"/>
          <w:u w:val="single"/>
        </w:rPr>
        <w:t>Fee Letter</w:t>
      </w:r>
      <w:r>
        <w:rPr>
          <w:rFonts w:ascii="Times New Roman" w:hAnsi="Times New Roman"/>
          <w:color w:val="000000"/>
          <w:sz w:val="24"/>
        </w:rPr>
        <w:t xml:space="preserve">” has the meaning specified in </w:t>
      </w:r>
      <w:r>
        <w:rPr>
          <w:rFonts w:ascii="Times New Roman" w:hAnsi="Times New Roman"/>
          <w:color w:val="000000"/>
          <w:sz w:val="24"/>
          <w:u w:val="single"/>
        </w:rPr>
        <w:t>Section 2.03(a)</w:t>
      </w:r>
      <w:r>
        <w:rPr>
          <w:rFonts w:ascii="Times New Roman" w:hAnsi="Times New Roman"/>
          <w:color w:val="000000"/>
          <w:sz w:val="24"/>
        </w:rPr>
        <w:t xml:space="preserve"> of the Receivables Purchase Agreement.</w:t>
      </w:r>
    </w:p>
    <w:p>
      <w:pPr>
        <w:pStyle w:val="TextBody"/>
        <w:bidi w:val="0"/>
        <w:spacing w:before="240" w:after="283"/>
        <w:jc w:val="both"/>
        <w:rPr/>
      </w:pPr>
      <w:r>
        <w:rPr>
          <w:color w:val="000000"/>
        </w:rPr>
        <w:t>“</w:t>
      </w:r>
      <w:r>
        <w:rPr>
          <w:rFonts w:ascii="Times New Roman" w:hAnsi="Times New Roman"/>
          <w:color w:val="000000"/>
          <w:sz w:val="24"/>
          <w:u w:val="single"/>
        </w:rPr>
        <w:t>Fees</w:t>
      </w:r>
      <w:r>
        <w:rPr>
          <w:rFonts w:ascii="Times New Roman" w:hAnsi="Times New Roman"/>
          <w:color w:val="000000"/>
          <w:sz w:val="24"/>
        </w:rPr>
        <w:t xml:space="preserve">” has the meaning specified in </w:t>
      </w:r>
      <w:r>
        <w:rPr>
          <w:rFonts w:ascii="Times New Roman" w:hAnsi="Times New Roman"/>
          <w:color w:val="000000"/>
          <w:sz w:val="24"/>
          <w:u w:val="single"/>
        </w:rPr>
        <w:t>Section 2.03(a)</w:t>
      </w:r>
      <w:r>
        <w:rPr>
          <w:rFonts w:ascii="Times New Roman" w:hAnsi="Times New Roman"/>
          <w:color w:val="000000"/>
          <w:sz w:val="24"/>
        </w:rPr>
        <w:t xml:space="preserve"> of the Receivables Purchase Agreement.</w:t>
      </w:r>
    </w:p>
    <w:p>
      <w:pPr>
        <w:pStyle w:val="TextBody"/>
        <w:bidi w:val="0"/>
        <w:spacing w:before="240" w:after="283"/>
        <w:jc w:val="both"/>
        <w:rPr/>
      </w:pPr>
      <w:r>
        <w:rPr>
          <w:color w:val="000000"/>
        </w:rPr>
        <w:t>“</w:t>
      </w:r>
      <w:r>
        <w:rPr>
          <w:rFonts w:ascii="Times New Roman" w:hAnsi="Times New Roman"/>
          <w:color w:val="000000"/>
          <w:sz w:val="24"/>
          <w:u w:val="single"/>
        </w:rPr>
        <w:t>Final Payout Date</w:t>
      </w:r>
      <w:r>
        <w:rPr>
          <w:rFonts w:ascii="Times New Roman" w:hAnsi="Times New Roman"/>
          <w:color w:val="000000"/>
          <w:sz w:val="24"/>
        </w:rPr>
        <w:t>” means the date on or after the Termination Date when (i) the Aggregate Capital has been reduced to zero and Aggregate Yield has been paid in full, (ii) all other Seller Obligations have been paid in full (other than contingent or unliquidated obligations for which no claim has been made and other obligations expressly stated to survive such payment and termination of the Receivables Purchase Agreement), (iii) all other amounts owing to the Purchaser Parties and any other Seller Indemnified Party or Affected Person hereunder and under the other Transaction Documents have been paid in full and (iv) all accrued Servicing Fees have been paid in full.</w:t>
      </w:r>
    </w:p>
    <w:p>
      <w:pPr>
        <w:pStyle w:val="TextBody"/>
        <w:bidi w:val="0"/>
        <w:spacing w:before="240" w:after="283"/>
        <w:jc w:val="both"/>
        <w:rPr/>
      </w:pPr>
      <w:r>
        <w:rPr>
          <w:color w:val="000000"/>
        </w:rPr>
        <w:t>“</w:t>
      </w:r>
      <w:r>
        <w:rPr>
          <w:rFonts w:ascii="Times New Roman" w:hAnsi="Times New Roman"/>
          <w:color w:val="000000"/>
          <w:sz w:val="24"/>
          <w:u w:val="single"/>
        </w:rPr>
        <w:t>Financial Covenant</w:t>
      </w:r>
      <w:r>
        <w:rPr>
          <w:rFonts w:ascii="Times New Roman" w:hAnsi="Times New Roman"/>
          <w:color w:val="000000"/>
          <w:sz w:val="24"/>
        </w:rPr>
        <w:t>” means any one of the “financial covenants” set forth in Section 7.11 of the Ashland Credit Agreement (or any replacement or successor to such section or any similar section or sections in any replacement senior credit agreement) at such time.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Financial Officer</w:t>
      </w:r>
      <w:r>
        <w:rPr>
          <w:rFonts w:ascii="Times New Roman" w:hAnsi="Times New Roman"/>
          <w:color w:val="000000"/>
          <w:sz w:val="24"/>
        </w:rPr>
        <w:t>” of any Person means, the chief executive officer, the chief financial officer, the chief accounting officer, the principal accounting officer, the controller, the treasurer or the assistant treasurer of such Person.</w:t>
      </w:r>
    </w:p>
    <w:p>
      <w:pPr>
        <w:pStyle w:val="TextBody"/>
        <w:bidi w:val="0"/>
        <w:spacing w:before="240" w:after="283"/>
        <w:jc w:val="both"/>
        <w:rPr/>
      </w:pPr>
      <w:r>
        <w:rPr>
          <w:color w:val="000000"/>
        </w:rPr>
        <w:t>“</w:t>
      </w:r>
      <w:r>
        <w:rPr>
          <w:rFonts w:ascii="Times New Roman" w:hAnsi="Times New Roman"/>
          <w:color w:val="000000"/>
          <w:sz w:val="24"/>
          <w:u w:val="single"/>
        </w:rPr>
        <w:t>Fiscal Month</w:t>
      </w:r>
      <w:r>
        <w:rPr>
          <w:rFonts w:ascii="Times New Roman" w:hAnsi="Times New Roman"/>
          <w:color w:val="000000"/>
          <w:sz w:val="24"/>
        </w:rPr>
        <w:t>” means each calendar month.</w:t>
      </w:r>
    </w:p>
    <w:p>
      <w:pPr>
        <w:pStyle w:val="TextBody"/>
        <w:bidi w:val="0"/>
        <w:spacing w:before="240" w:after="283"/>
        <w:jc w:val="both"/>
        <w:rPr/>
      </w:pPr>
      <w:r>
        <w:rPr>
          <w:color w:val="000000"/>
        </w:rPr>
        <w:t>“</w:t>
      </w:r>
      <w:r>
        <w:rPr>
          <w:rFonts w:ascii="Times New Roman" w:hAnsi="Times New Roman"/>
          <w:color w:val="000000"/>
          <w:sz w:val="24"/>
          <w:u w:val="single"/>
        </w:rPr>
        <w:t>Fitch</w:t>
      </w:r>
      <w:r>
        <w:rPr>
          <w:rFonts w:ascii="Times New Roman" w:hAnsi="Times New Roman"/>
          <w:color w:val="000000"/>
          <w:sz w:val="24"/>
        </w:rPr>
        <w:t>” means Fitch, Inc. and any successor thereto that is a nationally recognized statistical rating organization.</w:t>
      </w:r>
    </w:p>
    <w:p>
      <w:pPr>
        <w:pStyle w:val="TextBody"/>
        <w:bidi w:val="0"/>
        <w:spacing w:before="240" w:after="283"/>
        <w:jc w:val="both"/>
        <w:rPr/>
      </w:pPr>
      <w:r>
        <w:rPr>
          <w:color w:val="000000"/>
        </w:rPr>
        <w:t>“</w:t>
      </w:r>
      <w:r>
        <w:rPr>
          <w:rFonts w:ascii="Times New Roman" w:hAnsi="Times New Roman"/>
          <w:color w:val="000000"/>
          <w:sz w:val="24"/>
          <w:u w:val="single"/>
        </w:rPr>
        <w:t>Floor</w:t>
      </w:r>
      <w:r>
        <w:rPr>
          <w:rFonts w:ascii="Times New Roman" w:hAnsi="Times New Roman"/>
          <w:color w:val="000000"/>
          <w:sz w:val="24"/>
        </w:rPr>
        <w:t>” means a rate of interest equal to zero (0.00%) per annum.</w:t>
      </w:r>
    </w:p>
    <w:p>
      <w:pPr>
        <w:pStyle w:val="TextBody"/>
        <w:bidi w:val="0"/>
        <w:spacing w:before="240" w:after="283"/>
        <w:jc w:val="both"/>
        <w:rPr/>
      </w:pPr>
      <w:r>
        <w:rPr>
          <w:color w:val="000000"/>
        </w:rPr>
        <w:t>“</w:t>
      </w:r>
      <w:r>
        <w:rPr>
          <w:rFonts w:ascii="Times New Roman" w:hAnsi="Times New Roman"/>
          <w:color w:val="000000"/>
          <w:sz w:val="24"/>
          <w:u w:val="single"/>
        </w:rPr>
        <w:t>Foreign Tax</w:t>
      </w:r>
      <w:r>
        <w:rPr>
          <w:rFonts w:ascii="Times New Roman" w:hAnsi="Times New Roman"/>
          <w:color w:val="000000"/>
          <w:sz w:val="24"/>
        </w:rPr>
        <w:t>” means any tax chargeable on profits or gains under the laws of a territory other than Ireland, that is of a similar nature to Irish income tax, corporation tax (including a controlled foreign company charge), or capital gains tax but not including a withholding tax to the extent such withholding tax is refundable where levied.</w:t>
      </w:r>
    </w:p>
    <w:p>
      <w:pPr>
        <w:pStyle w:val="TextBody"/>
        <w:bidi w:val="0"/>
        <w:spacing w:before="240" w:after="283"/>
        <w:jc w:val="both"/>
        <w:rPr/>
      </w:pPr>
      <w:r>
        <w:rPr>
          <w:color w:val="000000"/>
        </w:rPr>
        <w:t>“</w:t>
      </w:r>
      <w:r>
        <w:rPr>
          <w:rFonts w:ascii="Times New Roman" w:hAnsi="Times New Roman"/>
          <w:color w:val="000000"/>
          <w:sz w:val="24"/>
          <w:u w:val="single"/>
        </w:rPr>
        <w:t>French Collection Account Declaration of Trust</w:t>
      </w:r>
      <w:r>
        <w:rPr>
          <w:rFonts w:ascii="Times New Roman" w:hAnsi="Times New Roman"/>
          <w:color w:val="000000"/>
          <w:sz w:val="24"/>
        </w:rPr>
        <w:t>” means an English law declaration of trust, dated as of the Closing Date, between the French Originator, the Administrative Agent and the Seller.</w:t>
      </w:r>
    </w:p>
    <w:p>
      <w:pPr>
        <w:pStyle w:val="TextBody"/>
        <w:bidi w:val="0"/>
        <w:spacing w:before="240" w:after="283"/>
        <w:jc w:val="both"/>
        <w:rPr/>
      </w:pPr>
      <w:r>
        <w:rPr>
          <w:color w:val="000000"/>
        </w:rPr>
        <w:t>“</w:t>
      </w:r>
      <w:r>
        <w:rPr>
          <w:rFonts w:ascii="Times New Roman" w:hAnsi="Times New Roman"/>
          <w:color w:val="000000"/>
          <w:sz w:val="24"/>
          <w:u w:val="single"/>
        </w:rPr>
        <w:t>French Collection Account Pledge Agreement</w:t>
      </w:r>
      <w:r>
        <w:rPr>
          <w:rFonts w:ascii="Times New Roman" w:hAnsi="Times New Roman"/>
          <w:color w:val="000000"/>
          <w:sz w:val="24"/>
        </w:rPr>
        <w:t xml:space="preserve">” means, with respect to any Collection Account in France, any </w:t>
      </w:r>
      <w:r>
        <w:rPr>
          <w:rFonts w:ascii="Times New Roman" w:hAnsi="Times New Roman"/>
          <w:i/>
          <w:color w:val="000000"/>
          <w:sz w:val="24"/>
        </w:rPr>
        <w:t>in</w:t>
      </w:r>
      <w:r>
        <w:rPr>
          <w:rFonts w:ascii="Times New Roman" w:hAnsi="Times New Roman"/>
          <w:color w:val="000000"/>
          <w:sz w:val="24"/>
        </w:rPr>
        <w:t xml:space="preserve"> </w:t>
      </w:r>
      <w:r>
        <w:rPr>
          <w:rFonts w:ascii="Times New Roman" w:hAnsi="Times New Roman"/>
          <w:i/>
          <w:color w:val="000000"/>
          <w:sz w:val="24"/>
        </w:rPr>
        <w:t>rem</w:t>
      </w:r>
      <w:r>
        <w:rPr>
          <w:rFonts w:ascii="Times New Roman" w:hAnsi="Times New Roman"/>
          <w:color w:val="000000"/>
          <w:sz w:val="24"/>
        </w:rPr>
        <w:t xml:space="preserve"> security in the form of a pledge agreement entered into either (i) by any Originator as pledgor and the Seller as pledgee or (ii) the Seller as pledgor and the Administrative Agent as pledgee and acknowledged by the related Collection Account Bank.</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French Purchase and Sale Agreement</w:t>
      </w:r>
      <w:r>
        <w:rPr>
          <w:rFonts w:ascii="Times New Roman" w:hAnsi="Times New Roman"/>
          <w:color w:val="000000"/>
          <w:sz w:val="24"/>
        </w:rPr>
        <w:t>” means the French law purchase and sale agreement dated as of the Closing Date, between the French Originator, the Servicer and the Seller.</w:t>
      </w:r>
    </w:p>
    <w:p>
      <w:pPr>
        <w:pStyle w:val="TextBody"/>
        <w:bidi w:val="0"/>
        <w:spacing w:before="240" w:after="283"/>
        <w:jc w:val="both"/>
        <w:rPr/>
      </w:pPr>
      <w:r>
        <w:rPr>
          <w:color w:val="000000"/>
        </w:rPr>
        <w:t>“</w:t>
      </w:r>
      <w:r>
        <w:rPr>
          <w:rFonts w:ascii="Times New Roman" w:hAnsi="Times New Roman"/>
          <w:color w:val="000000"/>
          <w:sz w:val="24"/>
          <w:u w:val="single"/>
        </w:rPr>
        <w:t>GAAP</w:t>
      </w:r>
      <w:r>
        <w:rPr>
          <w:rFonts w:ascii="Times New Roman" w:hAnsi="Times New Roman"/>
          <w:color w:val="000000"/>
          <w:sz w:val="24"/>
        </w:rPr>
        <w:t>” means generally accepted accounting principles in the United States of America, Italy, the United Kingdom, Germany, Spain, France, Ireland, Switzerland and Singapore, as applicable, in each case consistently applied.</w:t>
      </w:r>
    </w:p>
    <w:p>
      <w:pPr>
        <w:pStyle w:val="TextBody"/>
        <w:bidi w:val="0"/>
        <w:spacing w:before="240" w:after="283"/>
        <w:jc w:val="both"/>
        <w:rPr/>
      </w:pPr>
      <w:r>
        <w:rPr>
          <w:color w:val="000000"/>
        </w:rPr>
        <w:t>“</w:t>
      </w:r>
      <w:r>
        <w:rPr>
          <w:rFonts w:ascii="Times New Roman" w:hAnsi="Times New Roman"/>
          <w:color w:val="000000"/>
          <w:sz w:val="24"/>
          <w:u w:val="single"/>
        </w:rPr>
        <w:t>German Collection Account Declaration of Trust</w:t>
      </w:r>
      <w:r>
        <w:rPr>
          <w:rFonts w:ascii="Times New Roman" w:hAnsi="Times New Roman"/>
          <w:color w:val="000000"/>
          <w:sz w:val="24"/>
        </w:rPr>
        <w:t>” means an English law declaration of trust, dated as of the Closing Date, between the German Originator, the Administrative Agent and the Seller.</w:t>
      </w:r>
    </w:p>
    <w:p>
      <w:pPr>
        <w:pStyle w:val="TextBody"/>
        <w:bidi w:val="0"/>
        <w:spacing w:before="240" w:after="283"/>
        <w:jc w:val="both"/>
        <w:rPr/>
      </w:pPr>
      <w:r>
        <w:rPr>
          <w:color w:val="000000"/>
        </w:rPr>
        <w:t>“</w:t>
      </w:r>
      <w:r>
        <w:rPr>
          <w:rFonts w:ascii="Times New Roman" w:hAnsi="Times New Roman"/>
          <w:color w:val="000000"/>
          <w:sz w:val="24"/>
          <w:u w:val="single"/>
        </w:rPr>
        <w:t>German Collection Account Pledge Agreement</w:t>
      </w:r>
      <w:r>
        <w:rPr>
          <w:rFonts w:ascii="Times New Roman" w:hAnsi="Times New Roman"/>
          <w:color w:val="000000"/>
          <w:sz w:val="24"/>
        </w:rPr>
        <w:t xml:space="preserve">” means, with respect to any Collection Account in Germany, any </w:t>
      </w:r>
      <w:r>
        <w:rPr>
          <w:rFonts w:ascii="Times New Roman" w:hAnsi="Times New Roman"/>
          <w:i/>
          <w:color w:val="000000"/>
          <w:sz w:val="24"/>
        </w:rPr>
        <w:t>in</w:t>
      </w:r>
      <w:r>
        <w:rPr>
          <w:rFonts w:ascii="Times New Roman" w:hAnsi="Times New Roman"/>
          <w:color w:val="000000"/>
          <w:sz w:val="24"/>
        </w:rPr>
        <w:t xml:space="preserve"> </w:t>
      </w:r>
      <w:r>
        <w:rPr>
          <w:rFonts w:ascii="Times New Roman" w:hAnsi="Times New Roman"/>
          <w:i/>
          <w:color w:val="000000"/>
          <w:sz w:val="24"/>
        </w:rPr>
        <w:t>rem</w:t>
      </w:r>
      <w:r>
        <w:rPr>
          <w:rFonts w:ascii="Times New Roman" w:hAnsi="Times New Roman"/>
          <w:color w:val="000000"/>
          <w:sz w:val="24"/>
        </w:rPr>
        <w:t xml:space="preserve"> security in the form of a pledge agreement entered into either (i) by any Originator as pledgor and the Seller as pledgee or (ii) the Seller as pledgor and the Administrative Agent as pledgee and acknowledged by the related Collection Account Bank.</w:t>
      </w:r>
    </w:p>
    <w:p>
      <w:pPr>
        <w:pStyle w:val="TextBody"/>
        <w:bidi w:val="0"/>
        <w:spacing w:before="240" w:after="283"/>
        <w:jc w:val="both"/>
        <w:rPr/>
      </w:pPr>
      <w:r>
        <w:rPr>
          <w:color w:val="000000"/>
        </w:rPr>
        <w:t>“</w:t>
      </w:r>
      <w:r>
        <w:rPr>
          <w:rFonts w:ascii="Times New Roman" w:hAnsi="Times New Roman"/>
          <w:color w:val="000000"/>
          <w:sz w:val="24"/>
          <w:u w:val="single"/>
        </w:rPr>
        <w:t>German Originator</w:t>
      </w:r>
      <w:r>
        <w:rPr>
          <w:rFonts w:ascii="Times New Roman" w:hAnsi="Times New Roman"/>
          <w:color w:val="000000"/>
          <w:sz w:val="24"/>
        </w:rPr>
        <w:t>” means Ashland Industries Deutschland GmbH a limited liability company (</w:t>
      </w:r>
      <w:r>
        <w:rPr>
          <w:rFonts w:ascii="Times New Roman" w:hAnsi="Times New Roman"/>
          <w:i/>
          <w:color w:val="000000"/>
          <w:sz w:val="24"/>
        </w:rPr>
        <w:t>Gesellschaft mit beschränkter Haftung</w:t>
      </w:r>
      <w:r>
        <w:rPr>
          <w:rFonts w:ascii="Times New Roman" w:hAnsi="Times New Roman"/>
          <w:color w:val="000000"/>
          <w:sz w:val="24"/>
        </w:rPr>
        <w:t>) registered with the commercial register (</w:t>
      </w:r>
      <w:r>
        <w:rPr>
          <w:rFonts w:ascii="Times New Roman" w:hAnsi="Times New Roman"/>
          <w:i/>
          <w:color w:val="000000"/>
          <w:sz w:val="24"/>
        </w:rPr>
        <w:t>Handelsregister</w:t>
      </w:r>
      <w:r>
        <w:rPr>
          <w:rFonts w:ascii="Times New Roman" w:hAnsi="Times New Roman"/>
          <w:color w:val="000000"/>
          <w:sz w:val="24"/>
        </w:rPr>
        <w:t>) of the Local Court (</w:t>
      </w:r>
      <w:r>
        <w:rPr>
          <w:rFonts w:ascii="Times New Roman" w:hAnsi="Times New Roman"/>
          <w:i/>
          <w:color w:val="000000"/>
          <w:sz w:val="24"/>
        </w:rPr>
        <w:t>Amtsgericht</w:t>
      </w:r>
      <w:r>
        <w:rPr>
          <w:rFonts w:ascii="Times New Roman" w:hAnsi="Times New Roman"/>
          <w:color w:val="000000"/>
          <w:sz w:val="24"/>
        </w:rPr>
        <w:t>) of Duesseldorf under registration number HRB 29830.</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German Purchase and Sale Agreement</w:t>
      </w:r>
      <w:r>
        <w:rPr>
          <w:rFonts w:ascii="Times New Roman" w:hAnsi="Times New Roman"/>
          <w:color w:val="000000"/>
          <w:sz w:val="24"/>
        </w:rPr>
        <w:t>” means the German law purchase and sale agreement dated as of the Closing Date, between the German Originator, Servicer and the Seller.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Governmental Authority</w:t>
      </w:r>
      <w:r>
        <w:rPr>
          <w:rFonts w:ascii="Times New Roman" w:hAnsi="Times New Roman"/>
          <w:color w:val="000000"/>
          <w:sz w:val="24"/>
        </w:rPr>
        <w:t>” means the government of the United States of America, Italy, the United Kingdom, Germany, Spain, France, Ireland, Switzerland and Singapore or any other nation, or of any political subdivision thereof, whether state, provincial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pStyle w:val="TextBody"/>
        <w:bidi w:val="0"/>
        <w:spacing w:before="240" w:after="283"/>
        <w:jc w:val="both"/>
        <w:rPr/>
      </w:pPr>
      <w:r>
        <w:rPr>
          <w:color w:val="000000"/>
        </w:rPr>
        <w:t>“</w:t>
      </w:r>
      <w:r>
        <w:rPr>
          <w:rFonts w:ascii="Times New Roman" w:hAnsi="Times New Roman"/>
          <w:color w:val="000000"/>
          <w:sz w:val="24"/>
          <w:u w:val="single"/>
        </w:rPr>
        <w:t>Group</w:t>
      </w:r>
      <w:r>
        <w:rPr>
          <w:rFonts w:ascii="Times New Roman" w:hAnsi="Times New Roman"/>
          <w:color w:val="000000"/>
          <w:sz w:val="24"/>
        </w:rPr>
        <w:t>” means, (i) for any Conduit Purchaser (other than Mont Blanc Capital Corp), such Conduit Purchaser, together with such Conduit Purchaser’s Related Committed Purchasers, related Group Agent, (ii) for Bank of America Europe, Bank of America Europe as a Committed Purchaser and Bank of America as a Group Agent, (iii) for ING, Mont Blanc Capital Corp as a Committed Purchaser, and ING as a Group Agent, and (iv) for any other Purchaser that does not have a related Conduit Purchaser, such Purchaser, together with such Purchaser’s related Group Agent and each other Purchaser for which such Group Agent acts as a Group Agent under the Transaction Documents.</w:t>
      </w:r>
    </w:p>
    <w:p>
      <w:pPr>
        <w:pStyle w:val="TextBody"/>
        <w:bidi w:val="0"/>
        <w:spacing w:before="240" w:after="283"/>
        <w:jc w:val="both"/>
        <w:rPr/>
      </w:pPr>
      <w:r>
        <w:rPr>
          <w:color w:val="000000"/>
        </w:rPr>
        <w:t>“</w:t>
      </w:r>
      <w:r>
        <w:rPr>
          <w:rFonts w:ascii="Times New Roman" w:hAnsi="Times New Roman"/>
          <w:color w:val="000000"/>
          <w:sz w:val="24"/>
          <w:u w:val="single"/>
        </w:rPr>
        <w:t>Group A Obligor</w:t>
      </w:r>
      <w:r>
        <w:rPr>
          <w:rFonts w:ascii="Times New Roman" w:hAnsi="Times New Roman"/>
          <w:color w:val="000000"/>
          <w:sz w:val="24"/>
        </w:rPr>
        <w:t xml:space="preserve">” means any Obligor (or its parent or majority owner, as applicable, if such Obligor is not rated) with (a) a short-term rating of at least: (i) “A-1” by S&amp;P or (ii) “P-1” by Moody’s;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if such Obligor is rated by only one of such rating agencies, then such Obligor will be a “Group A Obligor” if it satisfies either </w:t>
      </w:r>
      <w:r>
        <w:rPr>
          <w:rFonts w:ascii="Times New Roman" w:hAnsi="Times New Roman"/>
          <w:color w:val="000000"/>
          <w:sz w:val="24"/>
          <w:u w:val="single"/>
        </w:rPr>
        <w:t>clause (i)</w:t>
      </w:r>
      <w:r>
        <w:rPr>
          <w:rFonts w:ascii="Times New Roman" w:hAnsi="Times New Roman"/>
          <w:color w:val="000000"/>
          <w:sz w:val="24"/>
        </w:rPr>
        <w:t xml:space="preserve"> or </w:t>
      </w:r>
      <w:r>
        <w:rPr>
          <w:rFonts w:ascii="Times New Roman" w:hAnsi="Times New Roman"/>
          <w:color w:val="000000"/>
          <w:sz w:val="24"/>
          <w:u w:val="single"/>
        </w:rPr>
        <w:t>clause (ii)</w:t>
      </w:r>
      <w:r>
        <w:rPr>
          <w:rFonts w:ascii="Times New Roman" w:hAnsi="Times New Roman"/>
          <w:color w:val="000000"/>
          <w:sz w:val="24"/>
        </w:rPr>
        <w:t xml:space="preserve"> above, </w:t>
      </w:r>
      <w:r>
        <w:rPr>
          <w:rFonts w:ascii="Times New Roman" w:hAnsi="Times New Roman"/>
          <w:color w:val="000000"/>
          <w:sz w:val="24"/>
          <w:u w:val="single"/>
        </w:rPr>
        <w:t>or</w:t>
      </w:r>
      <w:r>
        <w:rPr>
          <w:rFonts w:ascii="Times New Roman" w:hAnsi="Times New Roman"/>
          <w:color w:val="000000"/>
          <w:sz w:val="24"/>
        </w:rPr>
        <w:t xml:space="preserve"> (b) if such Obligor does not have a short-term rating from either S&amp;P or Moody’s, (x) a rating of “A+” or better by S&amp;P on such Obligor’s, its parent’s, or its majority owner’s (as applicable) long-term senior unsecured and uncredit-enhanced debt securities or (y) “A1” or better by Moody’s on such Obligor’s, its parent’s or its majority owner’s (as applicable) long-term senior unsecured and uncredit-enhanced debt securities;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if such Obligor is rated by only one of such rating agencies, then such Obligor will be a “Group A Obligor” if it satisfies either </w:t>
      </w:r>
      <w:r>
        <w:rPr>
          <w:rFonts w:ascii="Times New Roman" w:hAnsi="Times New Roman"/>
          <w:color w:val="000000"/>
          <w:sz w:val="24"/>
          <w:u w:val="single"/>
        </w:rPr>
        <w:t>clause (x)</w:t>
      </w:r>
      <w:r>
        <w:rPr>
          <w:rFonts w:ascii="Times New Roman" w:hAnsi="Times New Roman"/>
          <w:color w:val="000000"/>
          <w:sz w:val="24"/>
        </w:rPr>
        <w:t xml:space="preserve">, or </w:t>
      </w:r>
      <w:r>
        <w:rPr>
          <w:rFonts w:ascii="Times New Roman" w:hAnsi="Times New Roman"/>
          <w:color w:val="000000"/>
          <w:sz w:val="24"/>
          <w:u w:val="single"/>
        </w:rPr>
        <w:t>clause (y)</w:t>
      </w:r>
      <w:r>
        <w:rPr>
          <w:rFonts w:ascii="Times New Roman" w:hAnsi="Times New Roman"/>
          <w:color w:val="000000"/>
          <w:sz w:val="24"/>
        </w:rPr>
        <w:t xml:space="preserve"> above;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if an Obligor (or its parent or majority owner, as applicable, if such Obligor is not rated) receives a split rating from S&amp;P and Moody’s, then such Obligor (or its parent or majority owner, as applicable) shall be deemed to have the lower of such ratings from each of S&amp;P and Moody’s and such deemed rating shall be used for the purposes of whether such rating satisfies </w:t>
      </w:r>
      <w:r>
        <w:rPr>
          <w:rFonts w:ascii="Times New Roman" w:hAnsi="Times New Roman"/>
          <w:color w:val="000000"/>
          <w:sz w:val="24"/>
          <w:u w:val="single"/>
        </w:rPr>
        <w:t>clauses (a)</w:t>
      </w:r>
      <w:r>
        <w:rPr>
          <w:rFonts w:ascii="Times New Roman" w:hAnsi="Times New Roman"/>
          <w:color w:val="000000"/>
          <w:sz w:val="24"/>
        </w:rPr>
        <w:t xml:space="preserve"> and </w:t>
      </w:r>
      <w:r>
        <w:rPr>
          <w:rFonts w:ascii="Times New Roman" w:hAnsi="Times New Roman"/>
          <w:color w:val="000000"/>
          <w:sz w:val="24"/>
          <w:u w:val="single"/>
        </w:rPr>
        <w:t>(b)</w:t>
      </w:r>
      <w:r>
        <w:rPr>
          <w:rFonts w:ascii="Times New Roman" w:hAnsi="Times New Roman"/>
          <w:color w:val="000000"/>
          <w:sz w:val="24"/>
        </w:rPr>
        <w:t xml:space="preserve"> above.</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Group A Obligor Country</w:t>
      </w:r>
      <w:r>
        <w:rPr>
          <w:rFonts w:ascii="Times New Roman" w:hAnsi="Times New Roman"/>
          <w:color w:val="000000"/>
          <w:sz w:val="24"/>
        </w:rPr>
        <w:t>” means an Eligible Obligor Country which has a long-term foreign currency rating by both Moody’s and S&amp;P and the lower of both ratings is sufficient to be designated as a Group A country in accordance with the Eligible Obligor Country Ratings Grid.</w:t>
      </w:r>
    </w:p>
    <w:p>
      <w:pPr>
        <w:pStyle w:val="TextBody"/>
        <w:bidi w:val="0"/>
        <w:spacing w:before="240" w:after="283"/>
        <w:jc w:val="both"/>
        <w:rPr/>
      </w:pPr>
      <w:r>
        <w:rPr>
          <w:color w:val="000000"/>
        </w:rPr>
        <w:t>“</w:t>
      </w:r>
      <w:r>
        <w:rPr>
          <w:rFonts w:ascii="Times New Roman" w:hAnsi="Times New Roman"/>
          <w:color w:val="000000"/>
          <w:sz w:val="24"/>
          <w:u w:val="single"/>
        </w:rPr>
        <w:t>Group Agent</w:t>
      </w:r>
      <w:r>
        <w:rPr>
          <w:rFonts w:ascii="Times New Roman" w:hAnsi="Times New Roman"/>
          <w:color w:val="000000"/>
          <w:sz w:val="24"/>
        </w:rPr>
        <w:t>” means each Person acting as agent on behalf of a Group and designated as the Group Agent for such Group on the signature pages to the Receivables Purchase Agreement or any other Person who becomes a party to the Receivables Purchase Agreement as a Group Agent for any Group pursuant to an Assumption Agreement, an Assignment and Acceptance Agreement or otherwise in accordance with the Receivables Purchase Agreement.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Group Agent’s Account</w:t>
      </w:r>
      <w:r>
        <w:rPr>
          <w:rFonts w:ascii="Times New Roman" w:hAnsi="Times New Roman"/>
          <w:color w:val="000000"/>
          <w:sz w:val="24"/>
        </w:rPr>
        <w:t>” means, with respect to any Group, the account(s) from time to time designated in writing by the applicable Group Agent to the Seller and the Servicer for purposes of receiving payments to or for the account of the members of such Group pursuant to the Receivables Purchase Agreement.</w:t>
      </w:r>
    </w:p>
    <w:p>
      <w:pPr>
        <w:pStyle w:val="TextBody"/>
        <w:bidi w:val="0"/>
        <w:spacing w:before="240" w:after="283"/>
        <w:jc w:val="both"/>
        <w:rPr/>
      </w:pPr>
      <w:r>
        <w:rPr>
          <w:color w:val="000000"/>
        </w:rPr>
        <w:t>“</w:t>
      </w:r>
      <w:r>
        <w:rPr>
          <w:rFonts w:ascii="Times New Roman" w:hAnsi="Times New Roman"/>
          <w:color w:val="000000"/>
          <w:sz w:val="24"/>
          <w:u w:val="single"/>
        </w:rPr>
        <w:t>Group B Obligor</w:t>
      </w:r>
      <w:r>
        <w:rPr>
          <w:rFonts w:ascii="Times New Roman" w:hAnsi="Times New Roman"/>
          <w:color w:val="000000"/>
          <w:sz w:val="24"/>
        </w:rPr>
        <w:t xml:space="preserve">” means any Obligor (or its parent or majority owner, as applicable, if such Obligor is not rated) that is not a Group A Obligor with (a) a short-term rating of at least: (i) “A-2” by S&amp;P and (ii) “P-2” by Moody’s;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if such Obligor is rated by only one of such rating agencies, then such Obligor will be a “Group B Obligor” if it satisfies either </w:t>
      </w:r>
      <w:r>
        <w:rPr>
          <w:rFonts w:ascii="Times New Roman" w:hAnsi="Times New Roman"/>
          <w:color w:val="000000"/>
          <w:sz w:val="24"/>
          <w:u w:val="single"/>
        </w:rPr>
        <w:t>clause (i),</w:t>
      </w:r>
      <w:r>
        <w:rPr>
          <w:rFonts w:ascii="Times New Roman" w:hAnsi="Times New Roman"/>
          <w:color w:val="000000"/>
          <w:sz w:val="24"/>
        </w:rPr>
        <w:t xml:space="preserve"> or </w:t>
      </w:r>
      <w:r>
        <w:rPr>
          <w:rFonts w:ascii="Times New Roman" w:hAnsi="Times New Roman"/>
          <w:color w:val="000000"/>
          <w:sz w:val="24"/>
          <w:u w:val="single"/>
        </w:rPr>
        <w:t>clause (ii)</w:t>
      </w:r>
      <w:r>
        <w:rPr>
          <w:rFonts w:ascii="Times New Roman" w:hAnsi="Times New Roman"/>
          <w:color w:val="000000"/>
          <w:sz w:val="24"/>
        </w:rPr>
        <w:t xml:space="preserve"> above, </w:t>
      </w:r>
      <w:r>
        <w:rPr>
          <w:rFonts w:ascii="Times New Roman" w:hAnsi="Times New Roman"/>
          <w:color w:val="000000"/>
          <w:sz w:val="24"/>
          <w:u w:val="single"/>
        </w:rPr>
        <w:t>or</w:t>
      </w:r>
      <w:r>
        <w:rPr>
          <w:rFonts w:ascii="Times New Roman" w:hAnsi="Times New Roman"/>
          <w:color w:val="000000"/>
          <w:sz w:val="24"/>
        </w:rPr>
        <w:t xml:space="preserve"> (b) if such Obligor does not have a short-term rating from either S&amp;P or Moody’s, (x) a rating of “BBB+” or better by S&amp;P on such Obligor’s, its parent’s, or its majority owner’s (as applicable) long-term senior unsecured and uncredit-enhanced debt securities, or (y) “Baa1” or better by Moody’s on such Obligor’s, its parent’s or its majority owner’s (as applicable) long-term senior unsecured and uncredit-enhanced debt securities;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if such Obligor is rated by only one of such rating agencies, then such Obligor will be a “Group B Obligor” if it satisfies one of </w:t>
      </w:r>
      <w:r>
        <w:rPr>
          <w:rFonts w:ascii="Times New Roman" w:hAnsi="Times New Roman"/>
          <w:color w:val="000000"/>
          <w:sz w:val="24"/>
          <w:u w:val="single"/>
        </w:rPr>
        <w:t xml:space="preserve">clause (x), </w:t>
      </w:r>
      <w:r>
        <w:rPr>
          <w:rFonts w:ascii="Times New Roman" w:hAnsi="Times New Roman"/>
          <w:color w:val="000000"/>
          <w:sz w:val="24"/>
        </w:rPr>
        <w:t xml:space="preserve">or </w:t>
      </w:r>
      <w:r>
        <w:rPr>
          <w:rFonts w:ascii="Times New Roman" w:hAnsi="Times New Roman"/>
          <w:color w:val="000000"/>
          <w:sz w:val="24"/>
          <w:u w:val="single"/>
        </w:rPr>
        <w:t>clause (y)</w:t>
      </w:r>
      <w:r>
        <w:rPr>
          <w:rFonts w:ascii="Times New Roman" w:hAnsi="Times New Roman"/>
          <w:color w:val="000000"/>
          <w:sz w:val="24"/>
        </w:rPr>
        <w:t xml:space="preserve"> above;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that if an Obligor (or its parent or majority owner, as applicable, if such Obligor is not rated) receives a split rating from S&amp;P and Moody’s, then such Obligor (or its parent or majority owner, as applicable) shall be deemed to have the lower of such ratings from either of S&amp;P or Moody’s and such deemed rating shall be used for the purposes of whether such rating satisfies </w:t>
      </w:r>
      <w:r>
        <w:rPr>
          <w:rFonts w:ascii="Times New Roman" w:hAnsi="Times New Roman"/>
          <w:color w:val="000000"/>
          <w:sz w:val="24"/>
          <w:u w:val="single"/>
        </w:rPr>
        <w:t>clauses (a)</w:t>
      </w:r>
      <w:r>
        <w:rPr>
          <w:rFonts w:ascii="Times New Roman" w:hAnsi="Times New Roman"/>
          <w:color w:val="000000"/>
          <w:sz w:val="24"/>
        </w:rPr>
        <w:t xml:space="preserve"> and </w:t>
      </w:r>
      <w:r>
        <w:rPr>
          <w:rFonts w:ascii="Times New Roman" w:hAnsi="Times New Roman"/>
          <w:color w:val="000000"/>
          <w:sz w:val="24"/>
          <w:u w:val="single"/>
        </w:rPr>
        <w:t>(b)</w:t>
      </w:r>
      <w:r>
        <w:rPr>
          <w:rFonts w:ascii="Times New Roman" w:hAnsi="Times New Roman"/>
          <w:color w:val="000000"/>
          <w:sz w:val="24"/>
        </w:rPr>
        <w:t xml:space="preserve"> above.</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Group B Obligor Country</w:t>
      </w:r>
      <w:r>
        <w:rPr>
          <w:rFonts w:ascii="Times New Roman" w:hAnsi="Times New Roman"/>
          <w:color w:val="000000"/>
          <w:sz w:val="24"/>
        </w:rPr>
        <w:t>” means an Eligible Obligor Country which has a long-term foreign currency rating by both Moody’s and S&amp;P and the lower of both ratings is sufficient to be designated as a Group B country in accordance with the Eligible Obligor Country Ratings Grid.</w:t>
      </w:r>
    </w:p>
    <w:p>
      <w:pPr>
        <w:pStyle w:val="TextBody"/>
        <w:bidi w:val="0"/>
        <w:spacing w:before="240" w:after="283"/>
        <w:jc w:val="both"/>
        <w:rPr/>
      </w:pPr>
      <w:r>
        <w:rPr>
          <w:color w:val="000000"/>
        </w:rPr>
        <w:t>“</w:t>
      </w:r>
      <w:r>
        <w:rPr>
          <w:rFonts w:ascii="Times New Roman" w:hAnsi="Times New Roman"/>
          <w:color w:val="000000"/>
          <w:sz w:val="24"/>
          <w:u w:val="single"/>
        </w:rPr>
        <w:t>Group C Obligor</w:t>
      </w:r>
      <w:r>
        <w:rPr>
          <w:rFonts w:ascii="Times New Roman" w:hAnsi="Times New Roman"/>
          <w:color w:val="000000"/>
          <w:sz w:val="24"/>
        </w:rPr>
        <w:t xml:space="preserve">” means any Obligor (or its parent or majority owner, as applicable, if such Obligor is not rated) that is not a Group A Obligor or Group B Obligor with (a) a short-term rating of at least: (i) “A-3” by S&amp;P and (ii) “P-3” by Moody’s;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if such Obligor is rated by only one of such rating agencies, then such Obligor will be a “Group C Obligor” if it satisfies either </w:t>
      </w:r>
      <w:r>
        <w:rPr>
          <w:rFonts w:ascii="Times New Roman" w:hAnsi="Times New Roman"/>
          <w:color w:val="000000"/>
          <w:sz w:val="24"/>
          <w:u w:val="single"/>
        </w:rPr>
        <w:t>clause (i)</w:t>
      </w:r>
      <w:r>
        <w:rPr>
          <w:rFonts w:ascii="Times New Roman" w:hAnsi="Times New Roman"/>
          <w:color w:val="000000"/>
          <w:sz w:val="24"/>
        </w:rPr>
        <w:t xml:space="preserve">, or </w:t>
      </w:r>
      <w:r>
        <w:rPr>
          <w:rFonts w:ascii="Times New Roman" w:hAnsi="Times New Roman"/>
          <w:color w:val="000000"/>
          <w:sz w:val="24"/>
          <w:u w:val="single"/>
        </w:rPr>
        <w:t>clause (ii)</w:t>
      </w:r>
      <w:r>
        <w:rPr>
          <w:rFonts w:ascii="Times New Roman" w:hAnsi="Times New Roman"/>
          <w:color w:val="000000"/>
          <w:sz w:val="24"/>
        </w:rPr>
        <w:t xml:space="preserve"> above, </w:t>
      </w:r>
      <w:r>
        <w:rPr>
          <w:rFonts w:ascii="Times New Roman" w:hAnsi="Times New Roman"/>
          <w:color w:val="000000"/>
          <w:sz w:val="24"/>
          <w:u w:val="single"/>
        </w:rPr>
        <w:t>or</w:t>
      </w:r>
      <w:r>
        <w:rPr>
          <w:rFonts w:ascii="Times New Roman" w:hAnsi="Times New Roman"/>
          <w:color w:val="000000"/>
          <w:sz w:val="24"/>
        </w:rPr>
        <w:t xml:space="preserve"> (b) if such Obligor does not have a short-term rating from either S&amp;P or Moody’s, (x) a rating of “BBB-” or better by S&amp;P on such Obligor’s, its parent’s, or its majority owner’s (as applicable) long-term senior unsecured and uncredit-enhanced debt securities, or (y) “Baa3” or better by Moody’s on such Obligor’s, its parent’s or its majority owner’s (as applicable) long-term senior unsecured and uncredit-enhanced debt securities;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if such Obligor is rated by only one of such rating agencies, then such Obligor will be a “Group C Obligor” if it satisfies either </w:t>
      </w:r>
      <w:r>
        <w:rPr>
          <w:rFonts w:ascii="Times New Roman" w:hAnsi="Times New Roman"/>
          <w:color w:val="000000"/>
          <w:sz w:val="24"/>
          <w:u w:val="single"/>
        </w:rPr>
        <w:t>clause (i),</w:t>
      </w:r>
      <w:r>
        <w:rPr>
          <w:rFonts w:ascii="Times New Roman" w:hAnsi="Times New Roman"/>
          <w:color w:val="000000"/>
          <w:sz w:val="24"/>
        </w:rPr>
        <w:t xml:space="preserve"> or </w:t>
      </w:r>
      <w:r>
        <w:rPr>
          <w:rFonts w:ascii="Times New Roman" w:hAnsi="Times New Roman"/>
          <w:color w:val="000000"/>
          <w:sz w:val="24"/>
          <w:u w:val="single"/>
        </w:rPr>
        <w:t>clause (ii)</w:t>
      </w:r>
      <w:r>
        <w:rPr>
          <w:rFonts w:ascii="Times New Roman" w:hAnsi="Times New Roman"/>
          <w:color w:val="000000"/>
          <w:sz w:val="24"/>
        </w:rPr>
        <w:t xml:space="preserve"> above;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that if an Obligor (or its parent or majority owner, as applicable, if such Obligor is not rated) receives a split rating from S&amp;P and Moody’s, then such Obligor (or its parent or majority owner, as applicable) shall be deemed to have the lower of such ratings from each of S&amp;P or Moody’s and such deemed rating shall be used for the purposes of whether such rating satisfies </w:t>
      </w:r>
      <w:r>
        <w:rPr>
          <w:rFonts w:ascii="Times New Roman" w:hAnsi="Times New Roman"/>
          <w:color w:val="000000"/>
          <w:sz w:val="24"/>
          <w:u w:val="single"/>
        </w:rPr>
        <w:t>clauses (a)</w:t>
      </w:r>
      <w:r>
        <w:rPr>
          <w:rFonts w:ascii="Times New Roman" w:hAnsi="Times New Roman"/>
          <w:color w:val="000000"/>
          <w:sz w:val="24"/>
        </w:rPr>
        <w:t xml:space="preserve"> and </w:t>
      </w:r>
      <w:r>
        <w:rPr>
          <w:rFonts w:ascii="Times New Roman" w:hAnsi="Times New Roman"/>
          <w:color w:val="000000"/>
          <w:sz w:val="24"/>
          <w:u w:val="single"/>
        </w:rPr>
        <w:t>(b)</w:t>
      </w:r>
      <w:r>
        <w:rPr>
          <w:rFonts w:ascii="Times New Roman" w:hAnsi="Times New Roman"/>
          <w:color w:val="000000"/>
          <w:sz w:val="24"/>
        </w:rPr>
        <w:t xml:space="preserve"> above.</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Group C Obligor Country</w:t>
      </w:r>
      <w:r>
        <w:rPr>
          <w:rFonts w:ascii="Times New Roman" w:hAnsi="Times New Roman"/>
          <w:color w:val="000000"/>
          <w:sz w:val="24"/>
        </w:rPr>
        <w:t>” means an Eligible Obligor Country which has a long-term foreign currency rating by both Moody’s and S&amp;P and the lower of both ratings is sufficient to be designated as a Group C country in accordance with the Eligible Obligor Country Ratings Grid.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Group Commitment</w:t>
      </w:r>
      <w:r>
        <w:rPr>
          <w:rFonts w:ascii="Times New Roman" w:hAnsi="Times New Roman"/>
          <w:color w:val="000000"/>
          <w:sz w:val="24"/>
        </w:rPr>
        <w:t>” means, with respect to any Group, at any time of determination, the aggregate Commitments of all Committed Purchasers within such Group.</w:t>
      </w:r>
    </w:p>
    <w:p>
      <w:pPr>
        <w:pStyle w:val="TextBody"/>
        <w:bidi w:val="0"/>
        <w:spacing w:before="240" w:after="283"/>
        <w:jc w:val="both"/>
        <w:rPr/>
      </w:pPr>
      <w:r>
        <w:rPr>
          <w:color w:val="000000"/>
        </w:rPr>
        <w:t>“</w:t>
      </w:r>
      <w:r>
        <w:rPr>
          <w:rFonts w:ascii="Times New Roman" w:hAnsi="Times New Roman"/>
          <w:color w:val="000000"/>
          <w:sz w:val="24"/>
          <w:u w:val="single"/>
        </w:rPr>
        <w:t>Group D Obligor</w:t>
      </w:r>
      <w:r>
        <w:rPr>
          <w:rFonts w:ascii="Times New Roman" w:hAnsi="Times New Roman"/>
          <w:color w:val="000000"/>
          <w:sz w:val="24"/>
        </w:rPr>
        <w:t xml:space="preserve">” means any Obligor that is not a Group A Obligor, Group B Obligor or Group C Obligor; </w:t>
      </w:r>
      <w:r>
        <w:rPr>
          <w:rFonts w:ascii="Times New Roman" w:hAnsi="Times New Roman"/>
          <w:color w:val="000000"/>
          <w:sz w:val="24"/>
          <w:u w:val="single"/>
        </w:rPr>
        <w:t>provided</w:t>
      </w:r>
      <w:r>
        <w:rPr>
          <w:rFonts w:ascii="Times New Roman" w:hAnsi="Times New Roman"/>
          <w:color w:val="000000"/>
          <w:sz w:val="24"/>
        </w:rPr>
        <w:t>, that any Obligor (or its parent or majority owner, as applicable, if such Obligor is unrated) that is not rated by either of Moody’s or S&amp;P shall be a Group D Obligor.</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Group D Obligor Country</w:t>
      </w:r>
      <w:r>
        <w:rPr>
          <w:rFonts w:ascii="Times New Roman" w:hAnsi="Times New Roman"/>
          <w:color w:val="000000"/>
          <w:sz w:val="24"/>
        </w:rPr>
        <w:t>” means an Eligible Obligor Country which has a long-term foreign currency rating by both Moody’s and S&amp;P and the lower of both ratings is sufficient to be designated as a Group D country in accordance with the Eligible Obligor Country Ratings Grid.</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Group E Obligor Country</w:t>
      </w:r>
      <w:r>
        <w:rPr>
          <w:rFonts w:ascii="Times New Roman" w:hAnsi="Times New Roman"/>
          <w:color w:val="000000"/>
          <w:sz w:val="24"/>
        </w:rPr>
        <w:t>” means an Eligible Obligor Country which has a long-term foreign currency rating by both Moody’s and S&amp;P and the lower of both ratings is sufficient to be designated as a Group E country in accordance with the Eligible Obligor Country Ratings Grid.</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Group F Obligor Country</w:t>
      </w:r>
      <w:r>
        <w:rPr>
          <w:rFonts w:ascii="Times New Roman" w:hAnsi="Times New Roman"/>
          <w:color w:val="000000"/>
          <w:sz w:val="24"/>
        </w:rPr>
        <w:t>” means an Eligible Obligor Country which has a long-term foreign currency rating by both Moody’s and S&amp;P and the lower of both ratings is sufficient to be designated as a Group F country in accordance with the Eligible Obligor Country Ratings Grid.</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Group G Obligor Country</w:t>
      </w:r>
      <w:r>
        <w:rPr>
          <w:rFonts w:ascii="Times New Roman" w:hAnsi="Times New Roman"/>
          <w:color w:val="000000"/>
          <w:sz w:val="24"/>
        </w:rPr>
        <w:t>” means an Eligible Obligor Country which is not a Group A Obligor Country, Group B Obligor Country, Group C Obligor Country, Group D Obligor Country, Group E Obligor Country, Group F Obligor Country, Special Obligor Country or Identified Obligor Country.</w:t>
      </w:r>
    </w:p>
    <w:p>
      <w:pPr>
        <w:pStyle w:val="TextBody"/>
        <w:bidi w:val="0"/>
        <w:spacing w:before="240" w:after="283"/>
        <w:jc w:val="both"/>
        <w:rPr/>
      </w:pPr>
      <w:r>
        <w:rPr>
          <w:color w:val="000000"/>
        </w:rPr>
        <w:t>“</w:t>
      </w:r>
      <w:r>
        <w:rPr>
          <w:rFonts w:ascii="Times New Roman" w:hAnsi="Times New Roman"/>
          <w:color w:val="000000"/>
          <w:sz w:val="24"/>
          <w:u w:val="single"/>
        </w:rPr>
        <w:t>Guaranteed Obligations</w:t>
      </w:r>
      <w:r>
        <w:rPr>
          <w:rFonts w:ascii="Times New Roman" w:hAnsi="Times New Roman"/>
          <w:color w:val="000000"/>
          <w:sz w:val="24"/>
        </w:rPr>
        <w:t xml:space="preserve">” has the meaning set forth in </w:t>
      </w:r>
      <w:r>
        <w:rPr>
          <w:rFonts w:ascii="Times New Roman" w:hAnsi="Times New Roman"/>
          <w:color w:val="000000"/>
          <w:sz w:val="24"/>
          <w:u w:val="single"/>
        </w:rPr>
        <w:t>Section 10.01</w:t>
      </w:r>
      <w:r>
        <w:rPr>
          <w:rFonts w:ascii="Times New Roman" w:hAnsi="Times New Roman"/>
          <w:color w:val="000000"/>
          <w:sz w:val="24"/>
        </w:rPr>
        <w:t xml:space="preserve"> of the Receivables Purchase Agreement.</w:t>
      </w:r>
    </w:p>
    <w:p>
      <w:pPr>
        <w:pStyle w:val="TextBody"/>
        <w:bidi w:val="0"/>
        <w:spacing w:before="240" w:after="283"/>
        <w:jc w:val="both"/>
        <w:rPr/>
      </w:pPr>
      <w:r>
        <w:rPr>
          <w:color w:val="000000"/>
        </w:rPr>
        <w:t>“</w:t>
      </w:r>
      <w:r>
        <w:rPr>
          <w:rFonts w:ascii="Times New Roman" w:hAnsi="Times New Roman"/>
          <w:color w:val="000000"/>
          <w:sz w:val="24"/>
          <w:u w:val="single"/>
        </w:rPr>
        <w:t>Guarantee</w:t>
      </w:r>
      <w:r>
        <w:rPr>
          <w:rFonts w:ascii="Times New Roman" w:hAnsi="Times New Roman"/>
          <w:color w:val="000000"/>
          <w:sz w:val="24"/>
        </w:rPr>
        <w:t>” means, with respect to any Person, any obligation of such Person guaranteeing or in effect guaranteeing any Debt, liability or obligation of any other Person in any manner, whether directly or indirectly, including any such liability arising by virtue of partnership agreements, including any agreement to indemnify or hold harmless any other Person, any performance bond or other suretyship arrangement and any other form of assurance against loss, except endorsement of negotiable or other instruments for deposit or collection in the ordinary course of business.</w:t>
      </w:r>
    </w:p>
    <w:p>
      <w:pPr>
        <w:pStyle w:val="TextBody"/>
        <w:bidi w:val="0"/>
        <w:spacing w:before="240" w:after="283"/>
        <w:jc w:val="both"/>
        <w:rPr/>
      </w:pPr>
      <w:r>
        <w:rPr>
          <w:color w:val="000000"/>
        </w:rPr>
        <w:t>“</w:t>
      </w:r>
      <w:r>
        <w:rPr>
          <w:rFonts w:ascii="Times New Roman" w:hAnsi="Times New Roman"/>
          <w:color w:val="000000"/>
          <w:sz w:val="24"/>
          <w:u w:val="single"/>
        </w:rPr>
        <w:t>Identified Obligor Country</w:t>
      </w:r>
      <w:r>
        <w:rPr>
          <w:rFonts w:ascii="Times New Roman" w:hAnsi="Times New Roman"/>
          <w:color w:val="000000"/>
          <w:sz w:val="24"/>
        </w:rPr>
        <w:t>” means each country listed as an Identified Obligor Country in the Eligible Obligor Country Ratings Grid.</w:t>
      </w:r>
    </w:p>
    <w:p>
      <w:pPr>
        <w:pStyle w:val="TextBody"/>
        <w:bidi w:val="0"/>
        <w:spacing w:before="240" w:after="283"/>
        <w:jc w:val="both"/>
        <w:rPr/>
      </w:pPr>
      <w:r>
        <w:rPr>
          <w:color w:val="000000"/>
        </w:rPr>
        <w:t>“</w:t>
      </w:r>
      <w:r>
        <w:rPr>
          <w:rFonts w:ascii="Times New Roman" w:hAnsi="Times New Roman"/>
          <w:color w:val="000000"/>
          <w:sz w:val="24"/>
          <w:u w:val="single"/>
        </w:rPr>
        <w:t>Immaterial Subsidiary</w:t>
      </w:r>
      <w:r>
        <w:rPr>
          <w:rFonts w:ascii="Times New Roman" w:hAnsi="Times New Roman"/>
          <w:color w:val="000000"/>
          <w:sz w:val="24"/>
        </w:rPr>
        <w:t xml:space="preserve">” means as of any date of determination, any Subsidiary that, together with its Subsidiaries on a consolidated basis, during (or, in the case of assets, as of the last day of) the twelve months preceding such date of determination accounts for (or to which may be attributed) 5.0% or less of the net income or assets (determined on a consolidated basis) of Ashland and its Subsidiaries during (or, in the case of assets, as of the last day of) such twelve month period; </w:t>
      </w:r>
      <w:r>
        <w:rPr>
          <w:rFonts w:ascii="Times New Roman" w:hAnsi="Times New Roman"/>
          <w:i/>
          <w:color w:val="000000"/>
          <w:sz w:val="24"/>
        </w:rPr>
        <w:t>provided</w:t>
      </w:r>
      <w:r>
        <w:rPr>
          <w:rFonts w:ascii="Times New Roman" w:hAnsi="Times New Roman"/>
          <w:color w:val="000000"/>
          <w:sz w:val="24"/>
        </w:rPr>
        <w:t xml:space="preserve"> that, as of any date of determination, the aggregate consolidated net income or assets for all Immaterial Subsidiaries during (or, in the case of assets, as of the last day) of the twelve months preceding such date of determination shall not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exceed 10.0% of the total net income or assets of Ashland and its Subsidiaries during (or, in the case of assets, as of the last day of) such twelve month period.</w:t>
      </w:r>
    </w:p>
    <w:p>
      <w:pPr>
        <w:pStyle w:val="TextBody"/>
        <w:bidi w:val="0"/>
        <w:spacing w:before="240" w:after="283"/>
        <w:jc w:val="both"/>
        <w:rPr/>
      </w:pPr>
      <w:r>
        <w:rPr>
          <w:color w:val="000000"/>
        </w:rPr>
        <w:t>“</w:t>
      </w:r>
      <w:r>
        <w:rPr>
          <w:rFonts w:ascii="Times New Roman" w:hAnsi="Times New Roman"/>
          <w:color w:val="000000"/>
          <w:sz w:val="24"/>
          <w:u w:val="single"/>
        </w:rPr>
        <w:t>Indemnified Taxes</w:t>
      </w:r>
      <w:r>
        <w:rPr>
          <w:rFonts w:ascii="Times New Roman" w:hAnsi="Times New Roman"/>
          <w:color w:val="000000"/>
          <w:sz w:val="24"/>
        </w:rPr>
        <w:t xml:space="preserve">” means (a) Taxes, other than Excluded Taxes, imposed on or with respect to any payment made by or on account of any obligation of the Seller or any of its Affiliates under any Transaction Document, (b) to the extent not otherwise described in </w:t>
      </w:r>
      <w:r>
        <w:rPr>
          <w:rFonts w:ascii="Times New Roman" w:hAnsi="Times New Roman"/>
          <w:color w:val="000000"/>
          <w:sz w:val="24"/>
          <w:u w:val="single"/>
        </w:rPr>
        <w:t>clause</w:t>
      </w:r>
    </w:p>
    <w:p>
      <w:pPr>
        <w:pStyle w:val="TextBody"/>
        <w:bidi w:val="0"/>
        <w:jc w:val="both"/>
        <w:rPr>
          <w:rFonts w:ascii="Times New Roman" w:hAnsi="Times New Roman"/>
          <w:sz w:val="24"/>
        </w:rPr>
      </w:pPr>
      <w:r>
        <w:rPr>
          <w:rFonts w:ascii="Times New Roman" w:hAnsi="Times New Roman"/>
          <w:color w:val="000000"/>
          <w:sz w:val="24"/>
          <w:u w:val="single"/>
        </w:rPr>
        <w:t>(a)</w:t>
      </w:r>
      <w:r>
        <w:rPr>
          <w:rFonts w:ascii="Times New Roman" w:hAnsi="Times New Roman"/>
          <w:color w:val="000000"/>
          <w:sz w:val="24"/>
        </w:rPr>
        <w:t xml:space="preserve"> above, Other Taxes and (c) incremental Taxes imposed on a Purchaser solely attributable to such Purchaser's purchase and holding of a Receivable in excess of Taxes otherwise applicable to it such Purchaser had lent funds to the Seller".</w:t>
      </w:r>
    </w:p>
    <w:p>
      <w:pPr>
        <w:pStyle w:val="TextBody"/>
        <w:bidi w:val="0"/>
        <w:spacing w:before="240" w:after="283"/>
        <w:jc w:val="both"/>
        <w:rPr/>
      </w:pPr>
      <w:r>
        <w:rPr>
          <w:color w:val="000000"/>
        </w:rPr>
        <w:t>“</w:t>
      </w:r>
      <w:r>
        <w:rPr>
          <w:rFonts w:ascii="Times New Roman" w:hAnsi="Times New Roman"/>
          <w:color w:val="000000"/>
          <w:sz w:val="24"/>
          <w:u w:val="single"/>
        </w:rPr>
        <w:t>Independent Director</w:t>
      </w:r>
      <w:r>
        <w:rPr>
          <w:rFonts w:ascii="Times New Roman" w:hAnsi="Times New Roman"/>
          <w:color w:val="000000"/>
          <w:sz w:val="24"/>
        </w:rPr>
        <w:t xml:space="preserve">” has the meaning set forth in </w:t>
      </w:r>
      <w:r>
        <w:rPr>
          <w:rFonts w:ascii="Times New Roman" w:hAnsi="Times New Roman"/>
          <w:color w:val="000000"/>
          <w:sz w:val="24"/>
          <w:u w:val="single"/>
        </w:rPr>
        <w:t>Section 5.05(c)</w:t>
      </w:r>
      <w:r>
        <w:rPr>
          <w:rFonts w:ascii="Times New Roman" w:hAnsi="Times New Roman"/>
          <w:color w:val="000000"/>
          <w:sz w:val="24"/>
        </w:rPr>
        <w:t xml:space="preserve"> of the Receivables Purchase Agreement.</w:t>
      </w:r>
    </w:p>
    <w:p>
      <w:pPr>
        <w:pStyle w:val="TextBody"/>
        <w:bidi w:val="0"/>
        <w:spacing w:before="240" w:after="283"/>
        <w:jc w:val="left"/>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Ineligible Obligor</w:t>
      </w:r>
      <w:r>
        <w:rPr>
          <w:rFonts w:ascii="Times New Roman" w:hAnsi="Times New Roman"/>
          <w:color w:val="000000"/>
          <w:sz w:val="24"/>
        </w:rPr>
        <w:t>” has the meaning set forth in the 2026 Fee Letter.</w:t>
      </w:r>
    </w:p>
    <w:p>
      <w:pPr>
        <w:pStyle w:val="TextBody"/>
        <w:bidi w:val="0"/>
        <w:spacing w:before="240" w:after="283"/>
        <w:jc w:val="both"/>
        <w:rPr/>
      </w:pPr>
      <w:r>
        <w:rPr>
          <w:color w:val="000000"/>
        </w:rPr>
        <w:t>“</w:t>
      </w:r>
      <w:r>
        <w:rPr>
          <w:rFonts w:ascii="Times New Roman" w:hAnsi="Times New Roman"/>
          <w:color w:val="000000"/>
          <w:sz w:val="24"/>
          <w:u w:val="single"/>
        </w:rPr>
        <w:t>Information Package</w:t>
      </w:r>
      <w:r>
        <w:rPr>
          <w:rFonts w:ascii="Times New Roman" w:hAnsi="Times New Roman"/>
          <w:color w:val="000000"/>
          <w:sz w:val="24"/>
        </w:rPr>
        <w:t>” means the reports in a form satisfactory to the Administrative Agent and the Group Agents provided in accordance with the Transaction Documents and which shall include (but not be limited to) the Monthly Report.</w:t>
      </w:r>
    </w:p>
    <w:p>
      <w:pPr>
        <w:pStyle w:val="TextBody"/>
        <w:bidi w:val="0"/>
        <w:spacing w:before="240" w:after="283"/>
        <w:jc w:val="both"/>
        <w:rPr/>
      </w:pPr>
      <w:r>
        <w:rPr>
          <w:color w:val="000000"/>
        </w:rPr>
        <w:t>“</w:t>
      </w:r>
      <w:r>
        <w:rPr>
          <w:rFonts w:ascii="Times New Roman" w:hAnsi="Times New Roman"/>
          <w:color w:val="000000"/>
          <w:sz w:val="24"/>
          <w:u w:val="single"/>
        </w:rPr>
        <w:t>ING</w:t>
      </w:r>
      <w:r>
        <w:rPr>
          <w:rFonts w:ascii="Times New Roman" w:hAnsi="Times New Roman"/>
          <w:color w:val="000000"/>
          <w:sz w:val="24"/>
        </w:rPr>
        <w:t>” means ING Belgium SA/NV, a limited liability company (</w:t>
      </w:r>
      <w:r>
        <w:rPr>
          <w:rFonts w:ascii="Times New Roman" w:hAnsi="Times New Roman"/>
          <w:i/>
          <w:color w:val="000000"/>
          <w:sz w:val="24"/>
        </w:rPr>
        <w:t>société anonyme/naamloze vennootschap</w:t>
      </w:r>
      <w:r>
        <w:rPr>
          <w:rFonts w:ascii="Times New Roman" w:hAnsi="Times New Roman"/>
          <w:color w:val="000000"/>
          <w:sz w:val="24"/>
        </w:rPr>
        <w:t>) incorporated in Belgium.</w:t>
      </w:r>
    </w:p>
    <w:p>
      <w:pPr>
        <w:pStyle w:val="TextBody"/>
        <w:bidi w:val="0"/>
        <w:spacing w:before="240" w:after="283"/>
        <w:jc w:val="both"/>
        <w:rPr/>
      </w:pPr>
      <w:r>
        <w:rPr>
          <w:color w:val="000000"/>
        </w:rPr>
        <w:t>“</w:t>
      </w:r>
      <w:r>
        <w:rPr>
          <w:rFonts w:ascii="Times New Roman" w:hAnsi="Times New Roman"/>
          <w:color w:val="000000"/>
          <w:sz w:val="24"/>
          <w:u w:val="single"/>
        </w:rPr>
        <w:t>Initial Schedule of Sold Receivables</w:t>
      </w:r>
      <w:r>
        <w:rPr>
          <w:rFonts w:ascii="Times New Roman" w:hAnsi="Times New Roman"/>
          <w:color w:val="000000"/>
          <w:sz w:val="24"/>
        </w:rPr>
        <w:t xml:space="preserve">” means the list identifying all Sold Receivables as of the Closing Date, which list is attached as </w:t>
      </w:r>
      <w:r>
        <w:rPr>
          <w:rFonts w:ascii="Times New Roman" w:hAnsi="Times New Roman"/>
          <w:color w:val="000000"/>
          <w:sz w:val="24"/>
          <w:u w:val="single"/>
        </w:rPr>
        <w:t>Schedule III</w:t>
      </w:r>
      <w:r>
        <w:rPr>
          <w:rFonts w:ascii="Times New Roman" w:hAnsi="Times New Roman"/>
          <w:color w:val="000000"/>
          <w:sz w:val="24"/>
        </w:rPr>
        <w:t xml:space="preserve"> of the Receivables Purchase Agreement.</w:t>
      </w:r>
    </w:p>
    <w:p>
      <w:pPr>
        <w:pStyle w:val="TextBody"/>
        <w:bidi w:val="0"/>
        <w:spacing w:before="240" w:after="283"/>
        <w:jc w:val="both"/>
        <w:rPr/>
      </w:pPr>
      <w:r>
        <w:rPr>
          <w:color w:val="000000"/>
        </w:rPr>
        <w:t>“</w:t>
      </w:r>
      <w:r>
        <w:rPr>
          <w:rFonts w:ascii="Times New Roman" w:hAnsi="Times New Roman"/>
          <w:color w:val="000000"/>
          <w:sz w:val="24"/>
          <w:u w:val="single"/>
        </w:rPr>
        <w:t>Insolvency Proceeding</w:t>
      </w:r>
      <w:r>
        <w:rPr>
          <w:rFonts w:ascii="Times New Roman" w:hAnsi="Times New Roman"/>
          <w:color w:val="000000"/>
          <w:sz w:val="24"/>
        </w:rPr>
        <w:t xml:space="preserve">” means (a) any case, action or proceeding before any court or other Governmental Authority relating to bankruptcy, administration, examinership, reorganization, insolvency, liquidation, receivership, dissolution, winding-up or relief of debtors, (b) any procedure or step taken to appoint any administrator, monitor, receiver, interim receiver, receiver/manager, trustee, custodian or other similar official in respect of a Person or any of its assets, (c) any general assignment for the benefit of creditors of a Person, composition, arrangement, marshaling of assets for creditors of a Person, or other, similar arrangement in respect of its creditors generally or any substantial portion of its creditors, in each of </w:t>
      </w:r>
      <w:r>
        <w:rPr>
          <w:rFonts w:ascii="Times New Roman" w:hAnsi="Times New Roman"/>
          <w:color w:val="000000"/>
          <w:sz w:val="24"/>
          <w:u w:val="single"/>
        </w:rPr>
        <w:t>clauses (a)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4"/>
        </w:rPr>
        <w:t xml:space="preserve"> and </w:t>
      </w:r>
      <w:r>
        <w:rPr>
          <w:rFonts w:ascii="Times New Roman" w:hAnsi="Times New Roman"/>
          <w:color w:val="000000"/>
          <w:sz w:val="24"/>
          <w:u w:val="single"/>
        </w:rPr>
        <w:t>(c)</w:t>
      </w:r>
      <w:r>
        <w:rPr>
          <w:rFonts w:ascii="Times New Roman" w:hAnsi="Times New Roman"/>
          <w:color w:val="000000"/>
          <w:sz w:val="24"/>
        </w:rPr>
        <w:t xml:space="preserve"> undertaken under federal, state or provincial law (including the Bankruptcy Code) of the U.S., Italy, the United Kingdom, Germany, Spain, France, Ireland, Switzerland and Singapore or any other jurisdiction) or (d) in the case of the Italian Originator it becomes in “</w:t>
      </w:r>
      <w:r>
        <w:rPr>
          <w:rFonts w:ascii="Times New Roman" w:hAnsi="Times New Roman"/>
          <w:i/>
          <w:color w:val="000000"/>
          <w:sz w:val="24"/>
        </w:rPr>
        <w:t>stato di crisi</w:t>
      </w:r>
      <w:r>
        <w:rPr>
          <w:rFonts w:ascii="Times New Roman" w:hAnsi="Times New Roman"/>
          <w:color w:val="000000"/>
          <w:sz w:val="24"/>
        </w:rPr>
        <w:t>”or insolvent pursuant to article 2, paragraph 1, lett. (a) and (b) of the Italian Crisis and Insolvency Code.</w:t>
      </w:r>
    </w:p>
    <w:p>
      <w:pPr>
        <w:pStyle w:val="TextBody"/>
        <w:bidi w:val="0"/>
        <w:spacing w:before="240" w:after="283"/>
        <w:jc w:val="left"/>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Intended Tax Treatment</w:t>
      </w:r>
      <w:r>
        <w:rPr>
          <w:rFonts w:ascii="Times New Roman" w:hAnsi="Times New Roman"/>
          <w:color w:val="000000"/>
          <w:sz w:val="24"/>
        </w:rPr>
        <w:t xml:space="preserve">" has the meaning set forth in </w:t>
      </w:r>
      <w:r>
        <w:rPr>
          <w:rFonts w:ascii="Times New Roman" w:hAnsi="Times New Roman"/>
          <w:color w:val="000000"/>
          <w:sz w:val="24"/>
          <w:u w:val="single"/>
        </w:rPr>
        <w:t>Section 11.11</w:t>
      </w:r>
      <w:r>
        <w:rPr>
          <w:rFonts w:ascii="Times New Roman" w:hAnsi="Times New Roman"/>
          <w:color w:val="000000"/>
          <w:sz w:val="24"/>
        </w:rPr>
        <w:t xml:space="preserve"> of the Receivables Purchase Agreement.</w:t>
      </w:r>
    </w:p>
    <w:p>
      <w:pPr>
        <w:pStyle w:val="TextBody"/>
        <w:bidi w:val="0"/>
        <w:spacing w:before="240" w:after="283"/>
        <w:jc w:val="both"/>
        <w:rPr/>
      </w:pPr>
      <w:r>
        <w:rPr>
          <w:color w:val="000000"/>
        </w:rPr>
        <w:t>“</w:t>
      </w:r>
      <w:r>
        <w:rPr>
          <w:rFonts w:ascii="Times New Roman" w:hAnsi="Times New Roman"/>
          <w:color w:val="000000"/>
          <w:sz w:val="24"/>
          <w:u w:val="single"/>
        </w:rPr>
        <w:t>Intercompany Loan</w:t>
      </w:r>
      <w:r>
        <w:rPr>
          <w:rFonts w:ascii="Times New Roman" w:hAnsi="Times New Roman"/>
          <w:color w:val="000000"/>
          <w:sz w:val="24"/>
        </w:rPr>
        <w:t>” has the meaning set forth in the Intercompany Loan Agreement. “</w:t>
      </w:r>
      <w:r>
        <w:rPr>
          <w:rFonts w:ascii="Times New Roman" w:hAnsi="Times New Roman"/>
          <w:color w:val="000000"/>
          <w:sz w:val="24"/>
          <w:u w:val="single"/>
        </w:rPr>
        <w:t>Intercompany Loan Agreement</w:t>
      </w:r>
      <w:r>
        <w:rPr>
          <w:rFonts w:ascii="Times New Roman" w:hAnsi="Times New Roman"/>
          <w:color w:val="000000"/>
          <w:sz w:val="24"/>
        </w:rPr>
        <w:t>” means the loan agreement between the Swiss Originator and the German Originator dated the Closing Date.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Investment</w:t>
      </w:r>
      <w:r>
        <w:rPr>
          <w:rFonts w:ascii="Times New Roman" w:hAnsi="Times New Roman"/>
          <w:color w:val="000000"/>
          <w:sz w:val="24"/>
        </w:rPr>
        <w:t xml:space="preserve">” means any payment of Capital to the Seller by a Purchaser pursuant to </w:t>
      </w:r>
      <w:r>
        <w:rPr>
          <w:rFonts w:ascii="Times New Roman" w:hAnsi="Times New Roman"/>
          <w:color w:val="000000"/>
          <w:sz w:val="24"/>
          <w:u w:val="single"/>
        </w:rPr>
        <w:t>Section 2.01(a)</w:t>
      </w:r>
      <w:r>
        <w:rPr>
          <w:rFonts w:ascii="Times New Roman" w:hAnsi="Times New Roman"/>
          <w:color w:val="000000"/>
          <w:sz w:val="24"/>
        </w:rPr>
        <w:t xml:space="preserve"> of the Receivables Purchase Agreement or</w:t>
      </w:r>
      <w:r>
        <w:rPr>
          <w:rFonts w:ascii="Times New Roman" w:hAnsi="Times New Roman"/>
          <w:color w:val="000000"/>
          <w:sz w:val="24"/>
          <w:u w:val="single"/>
        </w:rPr>
        <w:t xml:space="preserve"> Section 2.02</w:t>
      </w:r>
      <w:r>
        <w:rPr>
          <w:rFonts w:ascii="Times New Roman" w:hAnsi="Times New Roman"/>
          <w:color w:val="000000"/>
          <w:sz w:val="24"/>
        </w:rPr>
        <w:t xml:space="preserve"> of the Receivables Purchase Agreement.</w:t>
      </w:r>
    </w:p>
    <w:p>
      <w:pPr>
        <w:pStyle w:val="TextBody"/>
        <w:bidi w:val="0"/>
        <w:spacing w:before="240" w:after="283"/>
        <w:jc w:val="both"/>
        <w:rPr/>
      </w:pPr>
      <w:r>
        <w:rPr>
          <w:color w:val="000000"/>
        </w:rPr>
        <w:t>“</w:t>
      </w:r>
      <w:r>
        <w:rPr>
          <w:rFonts w:ascii="Times New Roman" w:hAnsi="Times New Roman"/>
          <w:color w:val="000000"/>
          <w:sz w:val="24"/>
          <w:u w:val="single"/>
        </w:rPr>
        <w:t>Investment Company Act</w:t>
      </w:r>
      <w:r>
        <w:rPr>
          <w:rFonts w:ascii="Times New Roman" w:hAnsi="Times New Roman"/>
          <w:color w:val="000000"/>
          <w:sz w:val="24"/>
        </w:rPr>
        <w:t>” means the Investment Company Act of 1940, as amended or otherwise modified from time to time.</w:t>
      </w:r>
    </w:p>
    <w:p>
      <w:pPr>
        <w:pStyle w:val="TextBody"/>
        <w:bidi w:val="0"/>
        <w:spacing w:before="240" w:after="283"/>
        <w:jc w:val="both"/>
        <w:rPr/>
      </w:pPr>
      <w:r>
        <w:rPr>
          <w:color w:val="000000"/>
        </w:rPr>
        <w:t>“</w:t>
      </w:r>
      <w:r>
        <w:rPr>
          <w:rFonts w:ascii="Times New Roman" w:hAnsi="Times New Roman"/>
          <w:color w:val="000000"/>
          <w:sz w:val="24"/>
          <w:u w:val="single"/>
        </w:rPr>
        <w:t>Investment Request</w:t>
      </w:r>
      <w:r>
        <w:rPr>
          <w:rFonts w:ascii="Times New Roman" w:hAnsi="Times New Roman"/>
          <w:color w:val="000000"/>
          <w:sz w:val="24"/>
        </w:rPr>
        <w:t xml:space="preserve">” means a letter in substantially the form of </w:t>
      </w:r>
      <w:r>
        <w:rPr>
          <w:rFonts w:ascii="Times New Roman" w:hAnsi="Times New Roman"/>
          <w:color w:val="000000"/>
          <w:sz w:val="24"/>
          <w:u w:val="single"/>
        </w:rPr>
        <w:t>Exhibit A</w:t>
      </w:r>
      <w:r>
        <w:rPr>
          <w:rFonts w:ascii="Times New Roman" w:hAnsi="Times New Roman"/>
          <w:color w:val="000000"/>
          <w:sz w:val="24"/>
        </w:rPr>
        <w:t xml:space="preserve"> of the Receivables Purchase Agreement executed and delivered by the Seller to the relevant Group Agents pursuant to </w:t>
      </w:r>
      <w:r>
        <w:rPr>
          <w:rFonts w:ascii="Times New Roman" w:hAnsi="Times New Roman"/>
          <w:color w:val="000000"/>
          <w:sz w:val="24"/>
          <w:u w:val="single"/>
        </w:rPr>
        <w:t xml:space="preserve">Section 2.02(a) </w:t>
      </w:r>
      <w:r>
        <w:rPr>
          <w:rFonts w:ascii="Times New Roman" w:hAnsi="Times New Roman"/>
          <w:color w:val="000000"/>
          <w:sz w:val="24"/>
        </w:rPr>
        <w:t>of the Receivables Purchase Agreement.</w:t>
      </w:r>
    </w:p>
    <w:p>
      <w:pPr>
        <w:pStyle w:val="TextBody"/>
        <w:bidi w:val="0"/>
        <w:spacing w:before="240" w:after="283"/>
        <w:jc w:val="both"/>
        <w:rPr/>
      </w:pPr>
      <w:r>
        <w:rPr>
          <w:color w:val="000000"/>
        </w:rPr>
        <w:t>“</w:t>
      </w:r>
      <w:r>
        <w:rPr>
          <w:rFonts w:ascii="Times New Roman" w:hAnsi="Times New Roman"/>
          <w:color w:val="000000"/>
          <w:sz w:val="24"/>
          <w:u w:val="single"/>
        </w:rPr>
        <w:t>In-Transit Receivable</w:t>
      </w:r>
      <w:r>
        <w:rPr>
          <w:rFonts w:ascii="Times New Roman" w:hAnsi="Times New Roman"/>
          <w:color w:val="000000"/>
          <w:sz w:val="24"/>
        </w:rPr>
        <w:t>” means, at any time of determination, any Receivable arising in connection with the sale of any goods or merchandise that as of such time, have been shipped but not delivered to the related Obligor.</w:t>
      </w:r>
    </w:p>
    <w:p>
      <w:pPr>
        <w:pStyle w:val="TextBody"/>
        <w:bidi w:val="0"/>
        <w:spacing w:before="240" w:after="283"/>
        <w:jc w:val="both"/>
        <w:rPr/>
      </w:pPr>
      <w:r>
        <w:rPr>
          <w:color w:val="000000"/>
        </w:rPr>
        <w:t>“</w:t>
      </w:r>
      <w:r>
        <w:rPr>
          <w:rFonts w:ascii="Times New Roman" w:hAnsi="Times New Roman"/>
          <w:color w:val="000000"/>
          <w:sz w:val="24"/>
          <w:u w:val="single"/>
        </w:rPr>
        <w:t>Irish Collection Account Declaration of Trust</w:t>
      </w:r>
      <w:r>
        <w:rPr>
          <w:rFonts w:ascii="Times New Roman" w:hAnsi="Times New Roman"/>
          <w:color w:val="000000"/>
          <w:sz w:val="24"/>
        </w:rPr>
        <w:t>” means the Irish law declaration of trust, dated on or around the date of this Agreement, between the Irish Originator, the Administrative Agent and the Seller.</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Irish Purchase and Sale Agreement</w:t>
      </w:r>
      <w:r>
        <w:rPr>
          <w:rFonts w:ascii="Times New Roman" w:hAnsi="Times New Roman"/>
          <w:color w:val="000000"/>
          <w:sz w:val="24"/>
        </w:rPr>
        <w:t>” means the Irish law purchase and sale agreement dated as of the Closing Date, between the Irish Originator, the Servicer and the Seller.</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Italian Civil Code</w:t>
      </w:r>
      <w:r>
        <w:rPr>
          <w:rFonts w:ascii="Times New Roman" w:hAnsi="Times New Roman"/>
          <w:color w:val="000000"/>
          <w:sz w:val="24"/>
        </w:rPr>
        <w:t>” means the Italian Civil Code enacted by Royal Decree No. 262 dated 16 March 1942, as amended, supplemented and implemented from time to time.</w:t>
      </w:r>
    </w:p>
    <w:p>
      <w:pPr>
        <w:pStyle w:val="TextBody"/>
        <w:bidi w:val="0"/>
        <w:spacing w:before="240" w:after="283"/>
        <w:jc w:val="both"/>
        <w:rPr/>
      </w:pPr>
      <w:r>
        <w:rPr>
          <w:color w:val="000000"/>
        </w:rPr>
        <w:t>“</w:t>
      </w:r>
      <w:r>
        <w:rPr>
          <w:rFonts w:ascii="Times New Roman" w:hAnsi="Times New Roman"/>
          <w:color w:val="000000"/>
          <w:sz w:val="24"/>
          <w:u w:val="single"/>
        </w:rPr>
        <w:t>Italian Collection Account Pledge Agreement</w:t>
      </w:r>
      <w:r>
        <w:rPr>
          <w:rFonts w:ascii="Times New Roman" w:hAnsi="Times New Roman"/>
          <w:color w:val="000000"/>
          <w:sz w:val="24"/>
        </w:rPr>
        <w:t>” means the pledge agreement entered into by the Italian Originator as pledgor and the Seller as pledgee dated on or around the date of this Agreement.</w:t>
      </w:r>
    </w:p>
    <w:p>
      <w:pPr>
        <w:pStyle w:val="TextBody"/>
        <w:bidi w:val="0"/>
        <w:spacing w:before="240" w:after="283"/>
        <w:jc w:val="both"/>
        <w:rPr/>
      </w:pPr>
      <w:r>
        <w:rPr>
          <w:color w:val="000000"/>
        </w:rPr>
        <w:t>“</w:t>
      </w:r>
      <w:r>
        <w:rPr>
          <w:rFonts w:ascii="Times New Roman" w:hAnsi="Times New Roman"/>
          <w:color w:val="000000"/>
          <w:sz w:val="24"/>
          <w:u w:val="single"/>
        </w:rPr>
        <w:t>Italian Consolidated Act of Public Safety Laws</w:t>
      </w:r>
      <w:r>
        <w:rPr>
          <w:rFonts w:ascii="Times New Roman" w:hAnsi="Times New Roman"/>
          <w:color w:val="000000"/>
          <w:sz w:val="24"/>
        </w:rPr>
        <w:t>” means the Italian Consolidated Act of Public Safety Laws enacted by Royal Decree No. 77 of 18 June 1931.</w:t>
      </w:r>
    </w:p>
    <w:p>
      <w:pPr>
        <w:pStyle w:val="TextBody"/>
        <w:bidi w:val="0"/>
        <w:spacing w:before="66" w:after="283"/>
        <w:jc w:val="both"/>
        <w:rPr/>
      </w:pPr>
      <w:r>
        <w:rPr>
          <w:color w:val="000000"/>
        </w:rPr>
        <w:t>“</w:t>
      </w:r>
      <w:r>
        <w:rPr>
          <w:rFonts w:ascii="Times New Roman" w:hAnsi="Times New Roman"/>
          <w:color w:val="000000"/>
          <w:sz w:val="24"/>
          <w:u w:val="single"/>
        </w:rPr>
        <w:t>Italian Crisis and Insolvency Code</w:t>
      </w:r>
      <w:r>
        <w:rPr>
          <w:rFonts w:ascii="Times New Roman" w:hAnsi="Times New Roman"/>
          <w:color w:val="000000"/>
          <w:sz w:val="24"/>
        </w:rPr>
        <w:t>” means the Italian Legislative Decree no, 14, 12 January 2019, as amended, supplemented and implemented from time to time.</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Italian Purchase and Sale Agreement</w:t>
      </w:r>
      <w:r>
        <w:rPr>
          <w:rFonts w:ascii="Times New Roman" w:hAnsi="Times New Roman"/>
          <w:color w:val="000000"/>
          <w:sz w:val="24"/>
        </w:rPr>
        <w:t>” means the Italian law purchase and sale agreement dated as of the Closing Date, between the Italian Originator, the Servicer and the Seller.</w:t>
      </w:r>
    </w:p>
    <w:p>
      <w:pPr>
        <w:pStyle w:val="TextBody"/>
        <w:bidi w:val="0"/>
        <w:spacing w:before="240" w:after="283"/>
        <w:jc w:val="left"/>
        <w:rPr/>
      </w:pPr>
      <w:r>
        <w:rPr>
          <w:color w:val="000000"/>
        </w:rPr>
        <w:t>“</w:t>
      </w:r>
      <w:r>
        <w:rPr>
          <w:rFonts w:ascii="Times New Roman" w:hAnsi="Times New Roman"/>
          <w:color w:val="000000"/>
          <w:sz w:val="24"/>
          <w:u w:val="single"/>
        </w:rPr>
        <w:t>Italian Receivables</w:t>
      </w:r>
      <w:r>
        <w:rPr>
          <w:rFonts w:ascii="Times New Roman" w:hAnsi="Times New Roman"/>
          <w:color w:val="000000"/>
          <w:sz w:val="24"/>
        </w:rPr>
        <w:t>” means any Receivables governed by Italian law.</w:t>
      </w:r>
    </w:p>
    <w:p>
      <w:pPr>
        <w:pStyle w:val="TextBody"/>
        <w:bidi w:val="0"/>
        <w:spacing w:before="240" w:after="283"/>
        <w:jc w:val="both"/>
        <w:rPr/>
      </w:pPr>
      <w:r>
        <w:rPr>
          <w:color w:val="000000"/>
        </w:rPr>
        <w:t>“</w:t>
      </w:r>
      <w:r>
        <w:rPr>
          <w:rFonts w:ascii="Times New Roman" w:hAnsi="Times New Roman"/>
          <w:color w:val="000000"/>
          <w:sz w:val="24"/>
          <w:u w:val="single"/>
        </w:rPr>
        <w:t>JPM Bank Account Control Agreement</w:t>
      </w:r>
      <w:r>
        <w:rPr>
          <w:rFonts w:ascii="Times New Roman" w:hAnsi="Times New Roman"/>
          <w:color w:val="000000"/>
          <w:sz w:val="24"/>
        </w:rPr>
        <w:t>” means, the bank account control agreement entered into, amongst others, JPMorgan Chase Bank, N.A., Singapore Branch, the Singaporean Originator, the Seller and the Administrative Agent in connection with the Singapore Collection Account Pledge Agreement.</w:t>
      </w:r>
    </w:p>
    <w:p>
      <w:pPr>
        <w:pStyle w:val="TextBody"/>
        <w:bidi w:val="0"/>
        <w:spacing w:before="240" w:after="283"/>
        <w:jc w:val="both"/>
        <w:rPr/>
      </w:pPr>
      <w:r>
        <w:rPr>
          <w:color w:val="000000"/>
        </w:rPr>
        <w:t>“</w:t>
      </w:r>
      <w:r>
        <w:rPr>
          <w:rFonts w:ascii="Times New Roman" w:hAnsi="Times New Roman"/>
          <w:color w:val="000000"/>
          <w:sz w:val="24"/>
          <w:u w:val="single"/>
        </w:rPr>
        <w:t>LCR Security</w:t>
      </w:r>
      <w:r>
        <w:rPr>
          <w:rFonts w:ascii="Times New Roman" w:hAnsi="Times New Roman"/>
          <w:color w:val="000000"/>
          <w:sz w:val="24"/>
        </w:rPr>
        <w:t>” means any commercial paper or security (other than equity securities issued to Ashland, the Parent or any Originator that is a consolidated subsidiary of Ashland or the Parent, under GAAP) within the meaning of Paragraph .32(e)(viii) of the final rules titled Liquidity Coverage Ratio; Liquidity Risk Measurement Standards, 79 Fed. Reg. 197, 61440 et seq. (October 10, 2014).</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Limited Waiver</w:t>
      </w:r>
      <w:r>
        <w:rPr>
          <w:rFonts w:ascii="Times New Roman" w:hAnsi="Times New Roman"/>
          <w:color w:val="000000"/>
          <w:sz w:val="24"/>
        </w:rPr>
        <w:t>” means the limited waiver agreed between the Seller, the Committed Purchaser, the Administrative Agent and the ING Group Agent dated 12 March 2026.</w:t>
      </w:r>
    </w:p>
    <w:p>
      <w:pPr>
        <w:pStyle w:val="TextBody"/>
        <w:bidi w:val="0"/>
        <w:spacing w:before="240" w:after="283"/>
        <w:jc w:val="both"/>
        <w:rPr/>
      </w:pPr>
      <w:r>
        <w:rPr>
          <w:color w:val="000000"/>
        </w:rPr>
        <w:t>“</w:t>
      </w:r>
      <w:r>
        <w:rPr>
          <w:rFonts w:ascii="Times New Roman" w:hAnsi="Times New Roman"/>
          <w:color w:val="000000"/>
          <w:sz w:val="24"/>
          <w:u w:val="single"/>
        </w:rPr>
        <w:t>Liquidity Agent</w:t>
      </w:r>
      <w:r>
        <w:rPr>
          <w:rFonts w:ascii="Times New Roman" w:hAnsi="Times New Roman"/>
          <w:color w:val="000000"/>
          <w:sz w:val="24"/>
        </w:rPr>
        <w:t>” means any bank or other financial institution acting as agent for the various Liquidity Providers under each Liquidity Agreement.</w:t>
      </w:r>
    </w:p>
    <w:p>
      <w:pPr>
        <w:pStyle w:val="TextBody"/>
        <w:bidi w:val="0"/>
        <w:spacing w:before="240" w:after="283"/>
        <w:jc w:val="both"/>
        <w:rPr/>
      </w:pPr>
      <w:r>
        <w:rPr>
          <w:color w:val="000000"/>
        </w:rPr>
        <w:t>“</w:t>
      </w:r>
      <w:r>
        <w:rPr>
          <w:rFonts w:ascii="Times New Roman" w:hAnsi="Times New Roman"/>
          <w:color w:val="000000"/>
          <w:sz w:val="24"/>
          <w:u w:val="single"/>
        </w:rPr>
        <w:t>Liquidity Agreement</w:t>
      </w:r>
      <w:r>
        <w:rPr>
          <w:rFonts w:ascii="Times New Roman" w:hAnsi="Times New Roman"/>
          <w:color w:val="000000"/>
          <w:sz w:val="24"/>
        </w:rPr>
        <w:t>” means any agreement entered into in connection with the Receivables Purchase Agreement pursuant to which a Liquidity Provider agrees to make purchases or advances to, or purchase assets from, any Conduit Purchaser in order to provide liquidity for such Conduit Purchaser’s Capital and Commercial Paper.</w:t>
      </w:r>
    </w:p>
    <w:p>
      <w:pPr>
        <w:pStyle w:val="TextBody"/>
        <w:bidi w:val="0"/>
        <w:spacing w:before="240" w:after="283"/>
        <w:jc w:val="both"/>
        <w:rPr/>
      </w:pPr>
      <w:r>
        <w:rPr>
          <w:color w:val="000000"/>
        </w:rPr>
        <w:t>“</w:t>
      </w:r>
      <w:r>
        <w:rPr>
          <w:rFonts w:ascii="Times New Roman" w:hAnsi="Times New Roman"/>
          <w:color w:val="000000"/>
          <w:sz w:val="24"/>
          <w:u w:val="single"/>
        </w:rPr>
        <w:t>Liquidity Provider</w:t>
      </w:r>
      <w:r>
        <w:rPr>
          <w:rFonts w:ascii="Times New Roman" w:hAnsi="Times New Roman"/>
          <w:color w:val="000000"/>
          <w:sz w:val="24"/>
        </w:rPr>
        <w:t>” means each bank or other financial institution that provides liquidity support to any Conduit Purchaser pursuant to the terms of a Liquidity Agreement.</w:t>
      </w:r>
    </w:p>
    <w:p>
      <w:pPr>
        <w:pStyle w:val="TextBody"/>
        <w:bidi w:val="0"/>
        <w:spacing w:before="240" w:after="283"/>
        <w:jc w:val="both"/>
        <w:rPr/>
      </w:pPr>
      <w:r>
        <w:rPr>
          <w:color w:val="000000"/>
        </w:rPr>
        <w:t>“</w:t>
      </w:r>
      <w:r>
        <w:rPr>
          <w:rFonts w:ascii="Times New Roman" w:hAnsi="Times New Roman"/>
          <w:color w:val="000000"/>
          <w:sz w:val="24"/>
          <w:u w:val="single"/>
        </w:rPr>
        <w:t>Long-Term Re-Aged Receivable</w:t>
      </w:r>
      <w:r>
        <w:rPr>
          <w:rFonts w:ascii="Times New Roman" w:hAnsi="Times New Roman"/>
          <w:color w:val="000000"/>
          <w:sz w:val="24"/>
        </w:rPr>
        <w:t>” means a Receivable which has been subject to (i) a payment term extension of 30 days (or more) beyond its original due date or (ii) more than one payment term extension of any length beyond its original due date.</w:t>
      </w:r>
    </w:p>
    <w:p>
      <w:pPr>
        <w:pStyle w:val="TextBody"/>
        <w:bidi w:val="0"/>
        <w:spacing w:before="240" w:after="283"/>
        <w:jc w:val="both"/>
        <w:rPr/>
      </w:pPr>
      <w:r>
        <w:rPr>
          <w:color w:val="000000"/>
        </w:rPr>
        <w:t>“</w:t>
      </w:r>
      <w:r>
        <w:rPr>
          <w:rFonts w:ascii="Times New Roman" w:hAnsi="Times New Roman"/>
          <w:color w:val="000000"/>
          <w:sz w:val="24"/>
          <w:u w:val="single"/>
        </w:rPr>
        <w:t>Loss Horizon Ratio</w:t>
      </w:r>
      <w:r>
        <w:rPr>
          <w:rFonts w:ascii="Times New Roman" w:hAnsi="Times New Roman"/>
          <w:color w:val="000000"/>
          <w:sz w:val="24"/>
        </w:rPr>
        <w:t xml:space="preserve">” means, at any time of determination, the ratio (expressed as a percentage and rounded to the nearest 1/100 of 1%, with 5/1000th of 1% rounded upward) computed by </w:t>
      </w:r>
      <w:r>
        <w:rPr>
          <w:rFonts w:ascii="Times New Roman" w:hAnsi="Times New Roman"/>
          <w:color w:val="000000"/>
          <w:sz w:val="24"/>
          <w:u w:val="single"/>
        </w:rPr>
        <w:t>dividing</w:t>
      </w:r>
      <w:r>
        <w:rPr>
          <w:rFonts w:ascii="Times New Roman" w:hAnsi="Times New Roman"/>
          <w:color w:val="000000"/>
          <w:sz w:val="24"/>
        </w:rPr>
        <w: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the aggregate initial Outstanding Balance of all Pool Receivables generated by the Originators during the five most recent Fiscal Months; </w:t>
      </w:r>
      <w:r>
        <w:rPr>
          <w:rFonts w:ascii="Times New Roman" w:hAnsi="Times New Roman"/>
          <w:color w:val="000000"/>
          <w:sz w:val="24"/>
          <w:u w:val="single"/>
        </w:rPr>
        <w:t>by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the Net Receivables Pool Balance as of such date.</w:t>
      </w:r>
    </w:p>
    <w:p>
      <w:pPr>
        <w:pStyle w:val="TextBody"/>
        <w:bidi w:val="0"/>
        <w:spacing w:before="240" w:after="283"/>
        <w:jc w:val="both"/>
        <w:rPr/>
      </w:pPr>
      <w:r>
        <w:rPr>
          <w:color w:val="000000"/>
        </w:rPr>
        <w:t>“</w:t>
      </w:r>
      <w:r>
        <w:rPr>
          <w:rFonts w:ascii="Times New Roman" w:hAnsi="Times New Roman"/>
          <w:color w:val="000000"/>
          <w:sz w:val="24"/>
          <w:u w:val="single"/>
        </w:rPr>
        <w:t>Loss</w:t>
      </w:r>
      <w:r>
        <w:rPr>
          <w:rFonts w:ascii="Times New Roman" w:hAnsi="Times New Roman"/>
          <w:color w:val="000000"/>
          <w:sz w:val="16"/>
          <w:u w:val="single"/>
        </w:rPr>
        <w:t xml:space="preserve"> </w:t>
      </w:r>
      <w:r>
        <w:rPr>
          <w:rFonts w:ascii="Times New Roman" w:hAnsi="Times New Roman"/>
          <w:color w:val="000000"/>
          <w:sz w:val="24"/>
          <w:u w:val="single"/>
        </w:rPr>
        <w:t>Reserve</w:t>
      </w:r>
      <w:r>
        <w:rPr>
          <w:rFonts w:ascii="Times New Roman" w:hAnsi="Times New Roman"/>
          <w:color w:val="000000"/>
          <w:sz w:val="16"/>
          <w:u w:val="single"/>
        </w:rPr>
        <w:t xml:space="preserve"> </w:t>
      </w:r>
      <w:r>
        <w:rPr>
          <w:rFonts w:ascii="Times New Roman" w:hAnsi="Times New Roman"/>
          <w:color w:val="000000"/>
          <w:sz w:val="24"/>
          <w:u w:val="single"/>
        </w:rPr>
        <w:t>Percentage</w:t>
      </w:r>
      <w:r>
        <w:rPr>
          <w:rFonts w:ascii="Times New Roman" w:hAnsi="Times New Roman"/>
          <w:color w:val="000000"/>
          <w:sz w:val="16"/>
        </w:rPr>
        <w:t xml:space="preserve">” </w:t>
      </w:r>
      <w:r>
        <w:rPr>
          <w:rFonts w:ascii="Times New Roman" w:hAnsi="Times New Roman"/>
          <w:color w:val="000000"/>
          <w:sz w:val="24"/>
        </w:rPr>
        <w:t>means,</w:t>
      </w:r>
      <w:r>
        <w:rPr>
          <w:rFonts w:ascii="Times New Roman" w:hAnsi="Times New Roman"/>
          <w:color w:val="000000"/>
          <w:sz w:val="16"/>
        </w:rPr>
        <w:t xml:space="preserve"> </w:t>
      </w:r>
      <w:r>
        <w:rPr>
          <w:rFonts w:ascii="Times New Roman" w:hAnsi="Times New Roman"/>
          <w:color w:val="000000"/>
          <w:sz w:val="24"/>
        </w:rPr>
        <w:t>at</w:t>
      </w:r>
      <w:r>
        <w:rPr>
          <w:rFonts w:ascii="Times New Roman" w:hAnsi="Times New Roman"/>
          <w:color w:val="000000"/>
          <w:sz w:val="16"/>
        </w:rPr>
        <w:t xml:space="preserve"> </w:t>
      </w:r>
      <w:r>
        <w:rPr>
          <w:rFonts w:ascii="Times New Roman" w:hAnsi="Times New Roman"/>
          <w:color w:val="000000"/>
          <w:sz w:val="24"/>
        </w:rPr>
        <w:t>any</w:t>
      </w:r>
      <w:r>
        <w:rPr>
          <w:rFonts w:ascii="Times New Roman" w:hAnsi="Times New Roman"/>
          <w:color w:val="000000"/>
          <w:sz w:val="16"/>
        </w:rPr>
        <w:t xml:space="preserve"> </w:t>
      </w:r>
      <w:r>
        <w:rPr>
          <w:rFonts w:ascii="Times New Roman" w:hAnsi="Times New Roman"/>
          <w:color w:val="000000"/>
          <w:sz w:val="24"/>
        </w:rPr>
        <w:t>time</w:t>
      </w:r>
      <w:r>
        <w:rPr>
          <w:rFonts w:ascii="Times New Roman" w:hAnsi="Times New Roman"/>
          <w:color w:val="000000"/>
          <w:sz w:val="16"/>
        </w:rPr>
        <w:t xml:space="preserve"> </w:t>
      </w:r>
      <w:r>
        <w:rPr>
          <w:rFonts w:ascii="Times New Roman" w:hAnsi="Times New Roman"/>
          <w:color w:val="000000"/>
          <w:sz w:val="24"/>
        </w:rPr>
        <w:t>of</w:t>
      </w:r>
      <w:r>
        <w:rPr>
          <w:rFonts w:ascii="Times New Roman" w:hAnsi="Times New Roman"/>
          <w:color w:val="000000"/>
          <w:sz w:val="16"/>
        </w:rPr>
        <w:t xml:space="preserve"> </w:t>
      </w:r>
      <w:r>
        <w:rPr>
          <w:rFonts w:ascii="Times New Roman" w:hAnsi="Times New Roman"/>
          <w:color w:val="000000"/>
          <w:sz w:val="24"/>
        </w:rPr>
        <w:t>determination,</w:t>
      </w:r>
      <w:r>
        <w:rPr>
          <w:rFonts w:ascii="Times New Roman" w:hAnsi="Times New Roman"/>
          <w:color w:val="000000"/>
          <w:sz w:val="16"/>
        </w:rPr>
        <w:t xml:space="preserve"> </w:t>
      </w:r>
      <w:r>
        <w:rPr>
          <w:rFonts w:ascii="Times New Roman" w:hAnsi="Times New Roman"/>
          <w:color w:val="000000"/>
          <w:sz w:val="24"/>
        </w:rPr>
        <w:t>the</w:t>
      </w:r>
      <w:r>
        <w:rPr>
          <w:rFonts w:ascii="Times New Roman" w:hAnsi="Times New Roman"/>
          <w:color w:val="000000"/>
          <w:sz w:val="16"/>
        </w:rPr>
        <w:t xml:space="preserve"> </w:t>
      </w:r>
      <w:r>
        <w:rPr>
          <w:rFonts w:ascii="Times New Roman" w:hAnsi="Times New Roman"/>
          <w:color w:val="000000"/>
          <w:sz w:val="24"/>
        </w:rPr>
        <w:t>product</w:t>
      </w:r>
      <w:r>
        <w:rPr>
          <w:rFonts w:ascii="Times New Roman" w:hAnsi="Times New Roman"/>
          <w:color w:val="000000"/>
          <w:sz w:val="16"/>
        </w:rPr>
        <w:t xml:space="preserve"> </w:t>
      </w:r>
      <w:r>
        <w:rPr>
          <w:rFonts w:ascii="Times New Roman" w:hAnsi="Times New Roman"/>
          <w:color w:val="000000"/>
          <w:sz w:val="24"/>
        </w:rPr>
        <w:t>(expressed as</w:t>
      </w:r>
      <w:r>
        <w:rPr>
          <w:rFonts w:ascii="Times New Roman" w:hAnsi="Times New Roman"/>
          <w:color w:val="000000"/>
          <w:sz w:val="16"/>
        </w:rPr>
        <w:t xml:space="preserve"> </w:t>
      </w:r>
      <w:r>
        <w:rPr>
          <w:rFonts w:ascii="Times New Roman" w:hAnsi="Times New Roman"/>
          <w:color w:val="000000"/>
          <w:sz w:val="24"/>
        </w:rPr>
        <w:t>a</w:t>
      </w:r>
      <w:r>
        <w:rPr>
          <w:rFonts w:ascii="Times New Roman" w:hAnsi="Times New Roman"/>
          <w:color w:val="000000"/>
          <w:sz w:val="16"/>
        </w:rPr>
        <w:t xml:space="preserve"> </w:t>
      </w:r>
      <w:r>
        <w:rPr>
          <w:rFonts w:ascii="Times New Roman" w:hAnsi="Times New Roman"/>
          <w:color w:val="000000"/>
          <w:sz w:val="24"/>
        </w:rPr>
        <w:t>percentage</w:t>
      </w:r>
      <w:r>
        <w:rPr>
          <w:rFonts w:ascii="Times New Roman" w:hAnsi="Times New Roman"/>
          <w:color w:val="000000"/>
          <w:sz w:val="16"/>
        </w:rPr>
        <w:t xml:space="preserve"> </w:t>
      </w:r>
      <w:r>
        <w:rPr>
          <w:rFonts w:ascii="Times New Roman" w:hAnsi="Times New Roman"/>
          <w:color w:val="000000"/>
          <w:sz w:val="24"/>
        </w:rPr>
        <w:t>and</w:t>
      </w:r>
      <w:r>
        <w:rPr>
          <w:rFonts w:ascii="Times New Roman" w:hAnsi="Times New Roman"/>
          <w:color w:val="000000"/>
          <w:sz w:val="16"/>
        </w:rPr>
        <w:t xml:space="preserve"> </w:t>
      </w:r>
      <w:r>
        <w:rPr>
          <w:rFonts w:ascii="Times New Roman" w:hAnsi="Times New Roman"/>
          <w:color w:val="000000"/>
          <w:sz w:val="24"/>
        </w:rPr>
        <w:t>rounded</w:t>
      </w:r>
      <w:r>
        <w:rPr>
          <w:rFonts w:ascii="Times New Roman" w:hAnsi="Times New Roman"/>
          <w:color w:val="000000"/>
          <w:sz w:val="16"/>
        </w:rPr>
        <w:t xml:space="preserve"> </w:t>
      </w:r>
      <w:r>
        <w:rPr>
          <w:rFonts w:ascii="Times New Roman" w:hAnsi="Times New Roman"/>
          <w:color w:val="000000"/>
          <w:sz w:val="24"/>
        </w:rPr>
        <w:t>to</w:t>
      </w:r>
      <w:r>
        <w:rPr>
          <w:rFonts w:ascii="Times New Roman" w:hAnsi="Times New Roman"/>
          <w:color w:val="000000"/>
          <w:sz w:val="16"/>
        </w:rPr>
        <w:t xml:space="preserve"> </w:t>
      </w:r>
      <w:r>
        <w:rPr>
          <w:rFonts w:ascii="Times New Roman" w:hAnsi="Times New Roman"/>
          <w:color w:val="000000"/>
          <w:sz w:val="24"/>
        </w:rPr>
        <w:t>the</w:t>
      </w:r>
      <w:r>
        <w:rPr>
          <w:rFonts w:ascii="Times New Roman" w:hAnsi="Times New Roman"/>
          <w:color w:val="000000"/>
          <w:sz w:val="16"/>
        </w:rPr>
        <w:t xml:space="preserve"> </w:t>
      </w:r>
      <w:r>
        <w:rPr>
          <w:rFonts w:ascii="Times New Roman" w:hAnsi="Times New Roman"/>
          <w:color w:val="000000"/>
          <w:sz w:val="24"/>
        </w:rPr>
        <w:t>nearest</w:t>
      </w:r>
      <w:r>
        <w:rPr>
          <w:rFonts w:ascii="Times New Roman" w:hAnsi="Times New Roman"/>
          <w:color w:val="000000"/>
          <w:sz w:val="16"/>
        </w:rPr>
        <w:t xml:space="preserve"> </w:t>
      </w:r>
      <w:r>
        <w:rPr>
          <w:rFonts w:ascii="Times New Roman" w:hAnsi="Times New Roman"/>
          <w:color w:val="000000"/>
          <w:sz w:val="24"/>
        </w:rPr>
        <w:t>1/100</w:t>
      </w:r>
      <w:r>
        <w:rPr>
          <w:rFonts w:ascii="Times New Roman" w:hAnsi="Times New Roman"/>
          <w:color w:val="000000"/>
          <w:sz w:val="16"/>
        </w:rPr>
        <w:t xml:space="preserve">th </w:t>
      </w:r>
      <w:r>
        <w:rPr>
          <w:rFonts w:ascii="Times New Roman" w:hAnsi="Times New Roman"/>
          <w:color w:val="000000"/>
          <w:sz w:val="24"/>
        </w:rPr>
        <w:t>of</w:t>
      </w:r>
      <w:r>
        <w:rPr>
          <w:rFonts w:ascii="Times New Roman" w:hAnsi="Times New Roman"/>
          <w:color w:val="000000"/>
          <w:sz w:val="16"/>
        </w:rPr>
        <w:t xml:space="preserve"> </w:t>
      </w:r>
      <w:r>
        <w:rPr>
          <w:rFonts w:ascii="Times New Roman" w:hAnsi="Times New Roman"/>
          <w:color w:val="000000"/>
          <w:sz w:val="24"/>
        </w:rPr>
        <w:t>1%,</w:t>
      </w:r>
      <w:r>
        <w:rPr>
          <w:rFonts w:ascii="Times New Roman" w:hAnsi="Times New Roman"/>
          <w:color w:val="000000"/>
          <w:sz w:val="16"/>
        </w:rPr>
        <w:t xml:space="preserve"> </w:t>
      </w:r>
      <w:r>
        <w:rPr>
          <w:rFonts w:ascii="Times New Roman" w:hAnsi="Times New Roman"/>
          <w:color w:val="000000"/>
          <w:sz w:val="24"/>
        </w:rPr>
        <w:t>with</w:t>
      </w:r>
      <w:r>
        <w:rPr>
          <w:rFonts w:ascii="Times New Roman" w:hAnsi="Times New Roman"/>
          <w:color w:val="000000"/>
          <w:sz w:val="16"/>
        </w:rPr>
        <w:t xml:space="preserve"> </w:t>
      </w:r>
      <w:r>
        <w:rPr>
          <w:rFonts w:ascii="Times New Roman" w:hAnsi="Times New Roman"/>
          <w:color w:val="000000"/>
          <w:sz w:val="24"/>
        </w:rPr>
        <w:t>5/1000</w:t>
      </w:r>
      <w:r>
        <w:rPr>
          <w:rFonts w:ascii="Times New Roman" w:hAnsi="Times New Roman"/>
          <w:color w:val="000000"/>
          <w:sz w:val="16"/>
        </w:rPr>
        <w:t xml:space="preserve">th </w:t>
      </w:r>
      <w:r>
        <w:rPr>
          <w:rFonts w:ascii="Times New Roman" w:hAnsi="Times New Roman"/>
          <w:color w:val="000000"/>
          <w:sz w:val="24"/>
        </w:rPr>
        <w:t>of</w:t>
      </w:r>
      <w:r>
        <w:rPr>
          <w:rFonts w:ascii="Times New Roman" w:hAnsi="Times New Roman"/>
          <w:color w:val="000000"/>
          <w:sz w:val="16"/>
        </w:rPr>
        <w:t xml:space="preserve"> </w:t>
      </w:r>
      <w:r>
        <w:rPr>
          <w:rFonts w:ascii="Times New Roman" w:hAnsi="Times New Roman"/>
          <w:color w:val="000000"/>
          <w:sz w:val="24"/>
        </w:rPr>
        <w:t>1%</w:t>
      </w:r>
      <w:r>
        <w:rPr>
          <w:rFonts w:ascii="Times New Roman" w:hAnsi="Times New Roman"/>
          <w:color w:val="000000"/>
          <w:sz w:val="16"/>
        </w:rPr>
        <w:t xml:space="preserve"> </w:t>
      </w:r>
      <w:r>
        <w:rPr>
          <w:rFonts w:ascii="Times New Roman" w:hAnsi="Times New Roman"/>
          <w:color w:val="000000"/>
          <w:sz w:val="24"/>
        </w:rPr>
        <w:t>rounded</w:t>
      </w:r>
      <w:r>
        <w:rPr>
          <w:rFonts w:ascii="Times New Roman" w:hAnsi="Times New Roman"/>
          <w:color w:val="000000"/>
          <w:sz w:val="16"/>
        </w:rPr>
        <w:t xml:space="preserve"> </w:t>
      </w:r>
      <w:r>
        <w:rPr>
          <w:rFonts w:ascii="Times New Roman" w:hAnsi="Times New Roman"/>
          <w:color w:val="000000"/>
          <w:sz w:val="24"/>
        </w:rPr>
        <w:t xml:space="preserve">upward) of (a) 2.50, </w:t>
      </w:r>
      <w:r>
        <w:rPr>
          <w:rFonts w:ascii="Times New Roman" w:hAnsi="Times New Roman"/>
          <w:color w:val="000000"/>
          <w:sz w:val="24"/>
          <w:u w:val="single"/>
        </w:rPr>
        <w:t>multiplied</w:t>
      </w:r>
      <w:r>
        <w:rPr>
          <w:rFonts w:ascii="Times New Roman" w:hAnsi="Times New Roman"/>
          <w:color w:val="000000"/>
          <w:sz w:val="16"/>
        </w:rPr>
        <w:t xml:space="preserve"> </w:t>
      </w:r>
      <w:r>
        <w:rPr>
          <w:rFonts w:ascii="Times New Roman" w:hAnsi="Times New Roman"/>
          <w:color w:val="000000"/>
          <w:sz w:val="24"/>
          <w:u w:val="single"/>
        </w:rPr>
        <w:t>by</w:t>
      </w:r>
      <w:r>
        <w:rPr>
          <w:rFonts w:ascii="Times New Roman" w:hAnsi="Times New Roman"/>
          <w:color w:val="000000"/>
          <w:sz w:val="16"/>
        </w:rPr>
        <w:t xml:space="preserve"> </w:t>
      </w:r>
      <w:r>
        <w:rPr>
          <w:rFonts w:ascii="Times New Roman" w:hAnsi="Times New Roman"/>
          <w:color w:val="000000"/>
          <w:sz w:val="24"/>
        </w:rPr>
        <w:t xml:space="preserve">(b) the highest average of the Sales Based Default Ratios for any three (3) consecutive Fiscal Months during the twelve (12) most recent Fiscal Months, </w:t>
      </w:r>
      <w:r>
        <w:rPr>
          <w:rFonts w:ascii="Times New Roman" w:hAnsi="Times New Roman"/>
          <w:color w:val="000000"/>
          <w:sz w:val="24"/>
          <w:u w:val="single"/>
        </w:rPr>
        <w:t>multiplied</w:t>
      </w:r>
      <w:r>
        <w:rPr>
          <w:rFonts w:ascii="Times New Roman" w:hAnsi="Times New Roman"/>
          <w:color w:val="000000"/>
          <w:sz w:val="16"/>
        </w:rPr>
        <w:t xml:space="preserve"> </w:t>
      </w:r>
      <w:r>
        <w:rPr>
          <w:rFonts w:ascii="Times New Roman" w:hAnsi="Times New Roman"/>
          <w:color w:val="000000"/>
          <w:sz w:val="24"/>
          <w:u w:val="single"/>
        </w:rPr>
        <w:t>by</w:t>
      </w:r>
      <w:r>
        <w:rPr>
          <w:rFonts w:ascii="Times New Roman" w:hAnsi="Times New Roman"/>
          <w:color w:val="000000"/>
          <w:sz w:val="16"/>
        </w:rPr>
        <w:t xml:space="preserve"> </w:t>
      </w:r>
      <w:r>
        <w:rPr>
          <w:rFonts w:ascii="Times New Roman" w:hAnsi="Times New Roman"/>
          <w:color w:val="000000"/>
          <w:sz w:val="24"/>
        </w:rPr>
        <w:t>(c) the Loss Horizon Ratio.</w:t>
      </w:r>
    </w:p>
    <w:p>
      <w:pPr>
        <w:pStyle w:val="TextBody"/>
        <w:bidi w:val="0"/>
        <w:spacing w:before="240" w:after="283"/>
        <w:jc w:val="both"/>
        <w:rPr/>
      </w:pPr>
      <w:r>
        <w:rPr>
          <w:color w:val="000000"/>
        </w:rPr>
        <w:t>“</w:t>
      </w:r>
      <w:r>
        <w:rPr>
          <w:rFonts w:ascii="Times New Roman" w:hAnsi="Times New Roman"/>
          <w:color w:val="000000"/>
          <w:sz w:val="24"/>
          <w:u w:val="single"/>
        </w:rPr>
        <w:t>Majority Group Agents</w:t>
      </w:r>
      <w:r>
        <w:rPr>
          <w:rFonts w:ascii="Times New Roman" w:hAnsi="Times New Roman"/>
          <w:color w:val="000000"/>
          <w:sz w:val="24"/>
        </w:rPr>
        <w:t>” means one or more Group Agents which in its Group, or their combined Groups, as the case may be, have Committed Purchasers representing more than 66 2/3% of the aggregate Commitments of all Committed Purchasers in all Groups (or, if the Commitments have been terminated, have Purchasers representing more than 66 2/3% of the aggregate outstanding Capital held by all the Purchasers in all Groups); provided, however, that in no event shall the Majority Group Agents include fewer than two (2) Group Agents at any time when there are two (2) or more Groups.</w:t>
      </w:r>
    </w:p>
    <w:p>
      <w:pPr>
        <w:pStyle w:val="TextBody"/>
        <w:bidi w:val="0"/>
        <w:spacing w:before="240" w:after="283"/>
        <w:jc w:val="both"/>
        <w:rPr/>
      </w:pPr>
      <w:r>
        <w:rPr>
          <w:color w:val="000000"/>
        </w:rPr>
        <w:t>“</w:t>
      </w:r>
      <w:r>
        <w:rPr>
          <w:rFonts w:ascii="Times New Roman" w:hAnsi="Times New Roman"/>
          <w:color w:val="000000"/>
          <w:sz w:val="24"/>
          <w:u w:val="single"/>
        </w:rPr>
        <w:t>Material Adverse Effect</w:t>
      </w:r>
      <w:r>
        <w:rPr>
          <w:rFonts w:ascii="Times New Roman" w:hAnsi="Times New Roman"/>
          <w:color w:val="000000"/>
          <w:sz w:val="24"/>
        </w:rPr>
        <w:t>” means relative to any Person (</w:t>
      </w:r>
      <w:r>
        <w:rPr>
          <w:rFonts w:ascii="Times New Roman" w:hAnsi="Times New Roman"/>
          <w:i/>
          <w:color w:val="000000"/>
          <w:sz w:val="24"/>
        </w:rPr>
        <w:t xml:space="preserve">provided </w:t>
      </w:r>
      <w:r>
        <w:rPr>
          <w:rFonts w:ascii="Times New Roman" w:hAnsi="Times New Roman"/>
          <w:color w:val="000000"/>
          <w:sz w:val="24"/>
        </w:rPr>
        <w:t>that if no particular Person is specified, “Material Adverse Effect” shall be deemed to be relative to the Seller, the Parent, Ashland, the Servicer and/or the Originators, individually (other than in respect to the Originators) and in the aggregate) with respect to any event or circumstance, a material adverse effect on any of the following: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the assets, operations, business or financial condition of the Seller, the Parent, Ashland, the Servicer, the Performance Guarantors (taken as a whole) or any Originator;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the ability of the Seller, the Parent, Ashland, the Servicer, any Performance Guarantor or any Originator to perform its obligations under this Agreement or any other Transaction Document to which it is a party;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the validity or enforceability of this Agreement or any other Transaction Document, or the validity, enforceability, value or collectability of any of the Pool Receivables;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 the status, perfection, enforceability or priority of the Administrative Agent’s ownership or security interest in the Sold Assets or Seller Collateral;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 the rights and remedies of any Purchaser Party under the Transaction Documents or associated with its respective interest in the Sold Assets or the Seller Collateral.</w:t>
      </w:r>
    </w:p>
    <w:p>
      <w:pPr>
        <w:pStyle w:val="TextBody"/>
        <w:bidi w:val="0"/>
        <w:spacing w:before="240" w:after="283"/>
        <w:jc w:val="both"/>
        <w:rPr/>
      </w:pPr>
      <w:r>
        <w:rPr>
          <w:color w:val="000000"/>
        </w:rPr>
        <w:t>“</w:t>
      </w:r>
      <w:r>
        <w:rPr>
          <w:rFonts w:ascii="Times New Roman" w:hAnsi="Times New Roman"/>
          <w:color w:val="000000"/>
          <w:sz w:val="24"/>
          <w:u w:val="single"/>
        </w:rPr>
        <w:t>Material Subsidiary</w:t>
      </w:r>
      <w:r>
        <w:rPr>
          <w:rFonts w:ascii="Times New Roman" w:hAnsi="Times New Roman"/>
          <w:color w:val="000000"/>
          <w:sz w:val="24"/>
        </w:rPr>
        <w:t>” means any Subsidiary that is not an Immaterial Subsidiary.</w:t>
      </w:r>
    </w:p>
    <w:p>
      <w:pPr>
        <w:pStyle w:val="TextBody"/>
        <w:bidi w:val="0"/>
        <w:spacing w:before="240" w:after="283"/>
        <w:jc w:val="both"/>
        <w:rPr/>
      </w:pPr>
      <w:r>
        <w:rPr>
          <w:color w:val="000000"/>
        </w:rPr>
        <w:t>“</w:t>
      </w:r>
      <w:r>
        <w:rPr>
          <w:rFonts w:ascii="Times New Roman" w:hAnsi="Times New Roman"/>
          <w:color w:val="000000"/>
          <w:sz w:val="24"/>
          <w:u w:val="single"/>
        </w:rPr>
        <w:t>Minimum Dilution Reserve Percentage</w:t>
      </w:r>
      <w:r>
        <w:rPr>
          <w:rFonts w:ascii="Times New Roman" w:hAnsi="Times New Roman"/>
          <w:color w:val="000000"/>
          <w:sz w:val="24"/>
        </w:rPr>
        <w:t xml:space="preserve">” means, at any time of determination, the product (expressed as a percentage and rounded to the nearest 1/100th of 1%, with 5/1000th of 1% rounded upward) of (a) the Expected Dilution Ratios, </w:t>
      </w:r>
      <w:r>
        <w:rPr>
          <w:rFonts w:ascii="Times New Roman" w:hAnsi="Times New Roman"/>
          <w:color w:val="000000"/>
          <w:sz w:val="24"/>
          <w:u w:val="single"/>
        </w:rPr>
        <w:t>multiplied</w:t>
      </w:r>
      <w:r>
        <w:rPr>
          <w:rFonts w:ascii="Times New Roman" w:hAnsi="Times New Roman"/>
          <w:color w:val="000000"/>
          <w:sz w:val="24"/>
        </w:rPr>
        <w:t xml:space="preserve"> </w:t>
      </w:r>
      <w:r>
        <w:rPr>
          <w:rFonts w:ascii="Times New Roman" w:hAnsi="Times New Roman"/>
          <w:color w:val="000000"/>
          <w:sz w:val="24"/>
          <w:u w:val="single"/>
        </w:rPr>
        <w:t>by</w:t>
      </w:r>
      <w:r>
        <w:rPr>
          <w:rFonts w:ascii="Times New Roman" w:hAnsi="Times New Roman"/>
          <w:color w:val="000000"/>
          <w:sz w:val="24"/>
        </w:rPr>
        <w:t xml:space="preserve"> (b) the Dilution Horizon Ratio.</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Monthly Report</w:t>
      </w:r>
      <w:r>
        <w:rPr>
          <w:rFonts w:ascii="Times New Roman" w:hAnsi="Times New Roman"/>
          <w:color w:val="000000"/>
          <w:sz w:val="24"/>
        </w:rPr>
        <w:t xml:space="preserve">” a report, substantially the form of </w:t>
      </w:r>
      <w:r>
        <w:rPr>
          <w:rFonts w:ascii="Times New Roman" w:hAnsi="Times New Roman"/>
          <w:color w:val="000000"/>
          <w:sz w:val="24"/>
          <w:u w:val="single"/>
        </w:rPr>
        <w:t>Exhibit F</w:t>
      </w:r>
    </w:p>
    <w:p>
      <w:pPr>
        <w:pStyle w:val="TextBody"/>
        <w:bidi w:val="0"/>
        <w:spacing w:before="240" w:after="283"/>
        <w:jc w:val="both"/>
        <w:rPr/>
      </w:pPr>
      <w:r>
        <w:rPr>
          <w:color w:val="000000"/>
        </w:rPr>
        <w:t>“</w:t>
      </w:r>
      <w:r>
        <w:rPr>
          <w:rFonts w:ascii="Times New Roman" w:hAnsi="Times New Roman"/>
          <w:color w:val="000000"/>
          <w:sz w:val="24"/>
          <w:u w:val="single"/>
        </w:rPr>
        <w:t>Monthly Reporting Date</w:t>
      </w:r>
      <w:r>
        <w:rPr>
          <w:rFonts w:ascii="Times New Roman" w:hAnsi="Times New Roman"/>
          <w:color w:val="000000"/>
          <w:sz w:val="24"/>
        </w:rPr>
        <w:t>” means 5 Business Days prior to each Monthly Settlement Date.</w:t>
      </w:r>
    </w:p>
    <w:p>
      <w:pPr>
        <w:pStyle w:val="TextBody"/>
        <w:bidi w:val="0"/>
        <w:spacing w:before="240" w:after="283"/>
        <w:jc w:val="left"/>
        <w:rPr/>
      </w:pPr>
      <w:r>
        <w:rPr>
          <w:color w:val="000000"/>
        </w:rPr>
        <w:t>“</w:t>
      </w:r>
      <w:r>
        <w:rPr>
          <w:rFonts w:ascii="Times New Roman" w:hAnsi="Times New Roman"/>
          <w:color w:val="000000"/>
          <w:sz w:val="24"/>
          <w:u w:val="single"/>
        </w:rPr>
        <w:t>Monthly</w:t>
      </w:r>
      <w:r>
        <w:rPr>
          <w:rFonts w:ascii="Times New Roman" w:hAnsi="Times New Roman"/>
          <w:color w:val="000000"/>
          <w:sz w:val="16"/>
          <w:u w:val="single"/>
        </w:rPr>
        <w:t xml:space="preserve"> </w:t>
      </w:r>
      <w:r>
        <w:rPr>
          <w:rFonts w:ascii="Times New Roman" w:hAnsi="Times New Roman"/>
          <w:color w:val="000000"/>
          <w:sz w:val="24"/>
          <w:u w:val="single"/>
        </w:rPr>
        <w:t>Settlement</w:t>
      </w:r>
      <w:r>
        <w:rPr>
          <w:rFonts w:ascii="Times New Roman" w:hAnsi="Times New Roman"/>
          <w:color w:val="000000"/>
          <w:sz w:val="16"/>
          <w:u w:val="single"/>
        </w:rPr>
        <w:t xml:space="preserve"> </w:t>
      </w:r>
      <w:r>
        <w:rPr>
          <w:rFonts w:ascii="Times New Roman" w:hAnsi="Times New Roman"/>
          <w:color w:val="000000"/>
          <w:sz w:val="24"/>
          <w:u w:val="single"/>
        </w:rPr>
        <w:t>Date</w:t>
      </w:r>
      <w:r>
        <w:rPr>
          <w:rFonts w:ascii="Times New Roman" w:hAnsi="Times New Roman"/>
          <w:color w:val="000000"/>
          <w:sz w:val="16"/>
        </w:rPr>
        <w:t xml:space="preserve">” </w:t>
      </w:r>
      <w:r>
        <w:rPr>
          <w:rFonts w:ascii="Times New Roman" w:hAnsi="Times New Roman"/>
          <w:color w:val="000000"/>
          <w:sz w:val="24"/>
        </w:rPr>
        <w:t>means</w:t>
      </w:r>
      <w:r>
        <w:rPr>
          <w:rFonts w:ascii="Times New Roman" w:hAnsi="Times New Roman"/>
          <w:color w:val="000000"/>
          <w:sz w:val="16"/>
        </w:rPr>
        <w:t xml:space="preserve"> </w:t>
      </w:r>
      <w:r>
        <w:rPr>
          <w:rFonts w:ascii="Times New Roman" w:hAnsi="Times New Roman"/>
          <w:color w:val="000000"/>
          <w:sz w:val="24"/>
        </w:rPr>
        <w:t>the</w:t>
      </w:r>
      <w:r>
        <w:rPr>
          <w:rFonts w:ascii="Times New Roman" w:hAnsi="Times New Roman"/>
          <w:color w:val="000000"/>
          <w:sz w:val="16"/>
        </w:rPr>
        <w:t xml:space="preserve"> </w:t>
      </w:r>
      <w:r>
        <w:rPr>
          <w:rFonts w:ascii="Times New Roman" w:hAnsi="Times New Roman"/>
          <w:color w:val="000000"/>
          <w:sz w:val="24"/>
        </w:rPr>
        <w:t>20</w:t>
      </w:r>
      <w:r>
        <w:rPr>
          <w:rFonts w:ascii="Times New Roman" w:hAnsi="Times New Roman"/>
          <w:color w:val="000000"/>
          <w:sz w:val="16"/>
        </w:rPr>
        <w:t xml:space="preserve">th </w:t>
      </w:r>
      <w:r>
        <w:rPr>
          <w:rFonts w:ascii="Times New Roman" w:hAnsi="Times New Roman"/>
          <w:color w:val="000000"/>
          <w:sz w:val="24"/>
        </w:rPr>
        <w:t>(twentieth)</w:t>
      </w:r>
      <w:r>
        <w:rPr>
          <w:rFonts w:ascii="Times New Roman" w:hAnsi="Times New Roman"/>
          <w:color w:val="000000"/>
          <w:sz w:val="16"/>
        </w:rPr>
        <w:t xml:space="preserve"> </w:t>
      </w:r>
      <w:r>
        <w:rPr>
          <w:rFonts w:ascii="Times New Roman" w:hAnsi="Times New Roman"/>
          <w:color w:val="000000"/>
          <w:sz w:val="24"/>
        </w:rPr>
        <w:t>day</w:t>
      </w:r>
      <w:r>
        <w:rPr>
          <w:rFonts w:ascii="Times New Roman" w:hAnsi="Times New Roman"/>
          <w:color w:val="000000"/>
          <w:sz w:val="16"/>
        </w:rPr>
        <w:t xml:space="preserve"> </w:t>
      </w:r>
      <w:r>
        <w:rPr>
          <w:rFonts w:ascii="Times New Roman" w:hAnsi="Times New Roman"/>
          <w:color w:val="000000"/>
          <w:sz w:val="24"/>
        </w:rPr>
        <w:t>of</w:t>
      </w:r>
      <w:r>
        <w:rPr>
          <w:rFonts w:ascii="Times New Roman" w:hAnsi="Times New Roman"/>
          <w:color w:val="000000"/>
          <w:sz w:val="16"/>
        </w:rPr>
        <w:t xml:space="preserve"> </w:t>
      </w:r>
      <w:r>
        <w:rPr>
          <w:rFonts w:ascii="Times New Roman" w:hAnsi="Times New Roman"/>
          <w:color w:val="000000"/>
          <w:sz w:val="24"/>
        </w:rPr>
        <w:t>each</w:t>
      </w:r>
      <w:r>
        <w:rPr>
          <w:rFonts w:ascii="Times New Roman" w:hAnsi="Times New Roman"/>
          <w:color w:val="000000"/>
          <w:sz w:val="16"/>
        </w:rPr>
        <w:t xml:space="preserve"> </w:t>
      </w:r>
      <w:r>
        <w:rPr>
          <w:rFonts w:ascii="Times New Roman" w:hAnsi="Times New Roman"/>
          <w:color w:val="000000"/>
          <w:sz w:val="24"/>
        </w:rPr>
        <w:t>calendar</w:t>
      </w:r>
      <w:r>
        <w:rPr>
          <w:rFonts w:ascii="Times New Roman" w:hAnsi="Times New Roman"/>
          <w:color w:val="000000"/>
          <w:sz w:val="16"/>
        </w:rPr>
        <w:t xml:space="preserve"> </w:t>
      </w:r>
      <w:r>
        <w:rPr>
          <w:rFonts w:ascii="Times New Roman" w:hAnsi="Times New Roman"/>
          <w:color w:val="000000"/>
          <w:sz w:val="24"/>
        </w:rPr>
        <w:t>month</w:t>
      </w:r>
      <w:r>
        <w:rPr>
          <w:rFonts w:ascii="Times New Roman" w:hAnsi="Times New Roman"/>
          <w:color w:val="000000"/>
          <w:sz w:val="16"/>
        </w:rPr>
        <w:t xml:space="preserve"> </w:t>
      </w:r>
      <w:r>
        <w:rPr>
          <w:rFonts w:ascii="Times New Roman" w:hAnsi="Times New Roman"/>
          <w:color w:val="000000"/>
          <w:sz w:val="24"/>
        </w:rPr>
        <w:t>(or if</w:t>
      </w:r>
      <w:r>
        <w:rPr>
          <w:rFonts w:ascii="Times New Roman" w:hAnsi="Times New Roman"/>
          <w:color w:val="000000"/>
          <w:sz w:val="16"/>
        </w:rPr>
        <w:t xml:space="preserve"> </w:t>
      </w:r>
      <w:r>
        <w:rPr>
          <w:rFonts w:ascii="Times New Roman" w:hAnsi="Times New Roman"/>
          <w:color w:val="000000"/>
          <w:sz w:val="24"/>
        </w:rPr>
        <w:t>such</w:t>
      </w:r>
      <w:r>
        <w:rPr>
          <w:rFonts w:ascii="Times New Roman" w:hAnsi="Times New Roman"/>
          <w:color w:val="000000"/>
          <w:sz w:val="16"/>
        </w:rPr>
        <w:t xml:space="preserve"> </w:t>
      </w:r>
      <w:r>
        <w:rPr>
          <w:rFonts w:ascii="Times New Roman" w:hAnsi="Times New Roman"/>
          <w:color w:val="000000"/>
          <w:sz w:val="24"/>
        </w:rPr>
        <w:t>day</w:t>
      </w:r>
      <w:r>
        <w:rPr>
          <w:rFonts w:ascii="Times New Roman" w:hAnsi="Times New Roman"/>
          <w:color w:val="000000"/>
          <w:sz w:val="16"/>
        </w:rPr>
        <w:t xml:space="preserve"> </w:t>
      </w:r>
      <w:r>
        <w:rPr>
          <w:rFonts w:ascii="Times New Roman" w:hAnsi="Times New Roman"/>
          <w:color w:val="000000"/>
          <w:sz w:val="24"/>
        </w:rPr>
        <w:t>is</w:t>
      </w:r>
      <w:r>
        <w:rPr>
          <w:rFonts w:ascii="Times New Roman" w:hAnsi="Times New Roman"/>
          <w:color w:val="000000"/>
          <w:sz w:val="16"/>
        </w:rPr>
        <w:t xml:space="preserve"> </w:t>
      </w:r>
      <w:r>
        <w:rPr>
          <w:rFonts w:ascii="Times New Roman" w:hAnsi="Times New Roman"/>
          <w:color w:val="000000"/>
          <w:sz w:val="24"/>
        </w:rPr>
        <w:t>not</w:t>
      </w:r>
      <w:r>
        <w:rPr>
          <w:rFonts w:ascii="Times New Roman" w:hAnsi="Times New Roman"/>
          <w:color w:val="000000"/>
          <w:sz w:val="16"/>
        </w:rPr>
        <w:t xml:space="preserve"> </w:t>
      </w:r>
      <w:r>
        <w:rPr>
          <w:rFonts w:ascii="Times New Roman" w:hAnsi="Times New Roman"/>
          <w:color w:val="000000"/>
          <w:sz w:val="24"/>
        </w:rPr>
        <w:t>a</w:t>
      </w:r>
      <w:r>
        <w:rPr>
          <w:rFonts w:ascii="Times New Roman" w:hAnsi="Times New Roman"/>
          <w:color w:val="000000"/>
          <w:sz w:val="16"/>
        </w:rPr>
        <w:t xml:space="preserve"> </w:t>
      </w:r>
      <w:r>
        <w:rPr>
          <w:rFonts w:ascii="Times New Roman" w:hAnsi="Times New Roman"/>
          <w:color w:val="000000"/>
          <w:sz w:val="24"/>
        </w:rPr>
        <w:t>Business</w:t>
      </w:r>
      <w:r>
        <w:rPr>
          <w:rFonts w:ascii="Times New Roman" w:hAnsi="Times New Roman"/>
          <w:color w:val="000000"/>
          <w:sz w:val="16"/>
        </w:rPr>
        <w:t xml:space="preserve"> </w:t>
      </w:r>
      <w:r>
        <w:rPr>
          <w:rFonts w:ascii="Times New Roman" w:hAnsi="Times New Roman"/>
          <w:color w:val="000000"/>
          <w:sz w:val="24"/>
        </w:rPr>
        <w:t>Day,</w:t>
      </w:r>
      <w:r>
        <w:rPr>
          <w:rFonts w:ascii="Times New Roman" w:hAnsi="Times New Roman"/>
          <w:color w:val="000000"/>
          <w:sz w:val="16"/>
        </w:rPr>
        <w:t xml:space="preserve"> </w:t>
      </w:r>
      <w:r>
        <w:rPr>
          <w:rFonts w:ascii="Times New Roman" w:hAnsi="Times New Roman"/>
          <w:color w:val="000000"/>
          <w:sz w:val="24"/>
        </w:rPr>
        <w:t>the</w:t>
      </w:r>
      <w:r>
        <w:rPr>
          <w:rFonts w:ascii="Times New Roman" w:hAnsi="Times New Roman"/>
          <w:color w:val="000000"/>
          <w:sz w:val="16"/>
        </w:rPr>
        <w:t xml:space="preserve"> </w:t>
      </w:r>
      <w:r>
        <w:rPr>
          <w:rFonts w:ascii="Times New Roman" w:hAnsi="Times New Roman"/>
          <w:color w:val="000000"/>
          <w:sz w:val="24"/>
        </w:rPr>
        <w:t>next</w:t>
      </w:r>
      <w:r>
        <w:rPr>
          <w:rFonts w:ascii="Times New Roman" w:hAnsi="Times New Roman"/>
          <w:color w:val="000000"/>
          <w:sz w:val="16"/>
        </w:rPr>
        <w:t xml:space="preserve"> </w:t>
      </w:r>
      <w:r>
        <w:rPr>
          <w:rFonts w:ascii="Times New Roman" w:hAnsi="Times New Roman"/>
          <w:color w:val="000000"/>
          <w:sz w:val="24"/>
        </w:rPr>
        <w:t>occurring</w:t>
      </w:r>
      <w:r>
        <w:rPr>
          <w:rFonts w:ascii="Times New Roman" w:hAnsi="Times New Roman"/>
          <w:color w:val="000000"/>
          <w:sz w:val="16"/>
        </w:rPr>
        <w:t xml:space="preserve"> </w:t>
      </w:r>
      <w:r>
        <w:rPr>
          <w:rFonts w:ascii="Times New Roman" w:hAnsi="Times New Roman"/>
          <w:color w:val="000000"/>
          <w:sz w:val="24"/>
        </w:rPr>
        <w:t>Business</w:t>
      </w:r>
      <w:r>
        <w:rPr>
          <w:rFonts w:ascii="Times New Roman" w:hAnsi="Times New Roman"/>
          <w:color w:val="000000"/>
          <w:sz w:val="16"/>
        </w:rPr>
        <w:t xml:space="preserve"> </w:t>
      </w:r>
      <w:r>
        <w:rPr>
          <w:rFonts w:ascii="Times New Roman" w:hAnsi="Times New Roman"/>
          <w:color w:val="000000"/>
          <w:sz w:val="24"/>
        </w:rPr>
        <w:t>Day).</w:t>
      </w:r>
    </w:p>
    <w:p>
      <w:pPr>
        <w:pStyle w:val="TextBody"/>
        <w:bidi w:val="0"/>
        <w:spacing w:before="240" w:after="283"/>
        <w:jc w:val="left"/>
        <w:rPr/>
      </w:pPr>
      <w:r>
        <w:rPr>
          <w:color w:val="000000"/>
        </w:rPr>
        <w:t>“</w:t>
      </w:r>
      <w:r>
        <w:rPr>
          <w:rFonts w:ascii="Times New Roman" w:hAnsi="Times New Roman"/>
          <w:color w:val="000000"/>
          <w:sz w:val="24"/>
          <w:u w:val="single"/>
        </w:rPr>
        <w:t>Moody’s</w:t>
      </w:r>
      <w:r>
        <w:rPr>
          <w:rFonts w:ascii="Times New Roman" w:hAnsi="Times New Roman"/>
          <w:color w:val="000000"/>
          <w:sz w:val="24"/>
        </w:rPr>
        <w:t>” means Moody’s Investors Service, Inc. and any successor thereto that is a nationally recognized statistical rating organization.</w:t>
      </w:r>
    </w:p>
    <w:p>
      <w:pPr>
        <w:pStyle w:val="TextBody"/>
        <w:bidi w:val="0"/>
        <w:spacing w:before="240" w:after="283"/>
        <w:jc w:val="left"/>
        <w:rPr/>
      </w:pPr>
      <w:r>
        <w:rPr>
          <w:color w:val="000000"/>
        </w:rPr>
        <w:t>“</w:t>
      </w:r>
      <w:r>
        <w:rPr>
          <w:rFonts w:ascii="Times New Roman" w:hAnsi="Times New Roman"/>
          <w:color w:val="000000"/>
          <w:sz w:val="24"/>
          <w:u w:val="single"/>
        </w:rPr>
        <w:t>Multiemployer Plan</w:t>
      </w:r>
      <w:r>
        <w:rPr>
          <w:rFonts w:ascii="Times New Roman" w:hAnsi="Times New Roman"/>
          <w:color w:val="000000"/>
          <w:sz w:val="24"/>
        </w:rPr>
        <w:t>” means a multiemployer plan as defined in Section 4001(a)(3) of ERISA.</w:t>
      </w:r>
    </w:p>
    <w:p>
      <w:pPr>
        <w:pStyle w:val="TextBody"/>
        <w:bidi w:val="0"/>
        <w:spacing w:before="240" w:after="283"/>
        <w:jc w:val="both"/>
        <w:rPr/>
      </w:pPr>
      <w:r>
        <w:rPr>
          <w:color w:val="000000"/>
        </w:rPr>
        <w:t>“</w:t>
      </w:r>
      <w:r>
        <w:rPr>
          <w:rFonts w:ascii="Times New Roman" w:hAnsi="Times New Roman"/>
          <w:color w:val="000000"/>
          <w:sz w:val="24"/>
          <w:u w:val="single"/>
        </w:rPr>
        <w:t>Net Receivables Pool Balance</w:t>
      </w:r>
      <w:r>
        <w:rPr>
          <w:rFonts w:ascii="Times New Roman" w:hAnsi="Times New Roman"/>
          <w:color w:val="000000"/>
          <w:sz w:val="24"/>
        </w:rPr>
        <w:t xml:space="preserve">” means, at any time of determination: (a) the Adjusted Eligible Receivables Balance, </w:t>
      </w:r>
      <w:r>
        <w:rPr>
          <w:rFonts w:ascii="Times New Roman" w:hAnsi="Times New Roman"/>
          <w:color w:val="000000"/>
          <w:sz w:val="24"/>
          <w:u w:val="single"/>
        </w:rPr>
        <w:t>minus</w:t>
      </w:r>
      <w:r>
        <w:rPr>
          <w:rFonts w:ascii="Times New Roman" w:hAnsi="Times New Roman"/>
          <w:color w:val="000000"/>
          <w:sz w:val="24"/>
        </w:rPr>
        <w:t xml:space="preserve"> (b) the Excess Concentration.</w:t>
      </w:r>
    </w:p>
    <w:p>
      <w:pPr>
        <w:pStyle w:val="TextBody"/>
        <w:bidi w:val="0"/>
        <w:spacing w:before="240" w:after="283"/>
        <w:jc w:val="both"/>
        <w:rPr/>
      </w:pPr>
      <w:r>
        <w:rPr>
          <w:color w:val="000000"/>
        </w:rPr>
        <w:t>“</w:t>
      </w:r>
      <w:r>
        <w:rPr>
          <w:rFonts w:ascii="Times New Roman" w:hAnsi="Times New Roman"/>
          <w:color w:val="000000"/>
          <w:sz w:val="24"/>
          <w:u w:val="single"/>
        </w:rPr>
        <w:t>Non-SOFR Successor Rate</w:t>
      </w:r>
      <w:r>
        <w:rPr>
          <w:rFonts w:ascii="Times New Roman" w:hAnsi="Times New Roman"/>
          <w:color w:val="000000"/>
          <w:sz w:val="24"/>
        </w:rPr>
        <w:t>” has the meaning specified in Section 4.05(c) of the Receivables Purchase Agreement.</w:t>
      </w:r>
    </w:p>
    <w:p>
      <w:pPr>
        <w:pStyle w:val="TextBody"/>
        <w:bidi w:val="0"/>
        <w:spacing w:before="240" w:after="283"/>
        <w:jc w:val="both"/>
        <w:rPr/>
      </w:pPr>
      <w:r>
        <w:rPr>
          <w:color w:val="000000"/>
        </w:rPr>
        <w:t>“</w:t>
      </w:r>
      <w:r>
        <w:rPr>
          <w:rFonts w:ascii="Times New Roman" w:hAnsi="Times New Roman"/>
          <w:color w:val="000000"/>
          <w:sz w:val="24"/>
          <w:u w:val="single"/>
        </w:rPr>
        <w:t>Obligor</w:t>
      </w:r>
      <w:r>
        <w:rPr>
          <w:rFonts w:ascii="Times New Roman" w:hAnsi="Times New Roman"/>
          <w:color w:val="000000"/>
          <w:sz w:val="24"/>
        </w:rPr>
        <w:t>” means, with respect to any Receivable, the Person obligated to make payments pursuant to the Contract relating to such Receivable.</w:t>
      </w:r>
    </w:p>
    <w:p>
      <w:pPr>
        <w:pStyle w:val="TextBody"/>
        <w:bidi w:val="0"/>
        <w:spacing w:before="240" w:after="283"/>
        <w:jc w:val="both"/>
        <w:rPr/>
      </w:pPr>
      <w:r>
        <w:rPr>
          <w:color w:val="000000"/>
        </w:rPr>
        <w:t>“</w:t>
      </w:r>
      <w:r>
        <w:rPr>
          <w:rFonts w:ascii="Times New Roman" w:hAnsi="Times New Roman"/>
          <w:color w:val="000000"/>
          <w:sz w:val="24"/>
          <w:u w:val="single"/>
        </w:rPr>
        <w:t>Obligor Percentage</w:t>
      </w:r>
      <w:r>
        <w:rPr>
          <w:rFonts w:ascii="Times New Roman" w:hAnsi="Times New Roman"/>
          <w:color w:val="000000"/>
          <w:sz w:val="24"/>
        </w:rPr>
        <w:t>” means, at any time of determination, for each Obligor, a fraction, expressed as a percentage, (a) the numerator of which is the aggregate Outstanding Balance of the Eligible Receivables of such Obligor and its Affiliates less the amount (if any) then included in the calculation of the Excess Concentration with respect to such Obligor and its Affiliates and (b) the denominator of which is the Adjusted Eligible Receivables Balance.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OFAC</w:t>
      </w:r>
      <w:r>
        <w:rPr>
          <w:rFonts w:ascii="Times New Roman" w:hAnsi="Times New Roman"/>
          <w:color w:val="000000"/>
          <w:sz w:val="24"/>
        </w:rPr>
        <w:t xml:space="preserve">” means the U.S. Department of Treasury’s Office of Foreign Assets Control. </w:t>
      </w:r>
    </w:p>
    <w:p>
      <w:pPr>
        <w:pStyle w:val="TextBody"/>
        <w:bidi w:val="0"/>
        <w:spacing w:before="240" w:after="283"/>
        <w:jc w:val="both"/>
        <w:rPr/>
      </w:pPr>
      <w:r>
        <w:rPr>
          <w:color w:val="000000"/>
        </w:rPr>
        <w:t>“</w:t>
      </w:r>
      <w:r>
        <w:rPr>
          <w:rFonts w:ascii="Times New Roman" w:hAnsi="Times New Roman"/>
          <w:color w:val="000000"/>
          <w:sz w:val="24"/>
          <w:u w:val="single"/>
        </w:rPr>
        <w:t>Offset Payables Reduction Amount</w:t>
      </w:r>
      <w:r>
        <w:rPr>
          <w:rFonts w:ascii="Times New Roman" w:hAnsi="Times New Roman"/>
          <w:color w:val="000000"/>
          <w:sz w:val="24"/>
        </w:rPr>
        <w:t xml:space="preserve">” means an amount equal to 0.55% of the Outstanding Balance of all Receivables as of such date of determination; </w:t>
      </w:r>
      <w:r>
        <w:rPr>
          <w:rFonts w:ascii="Times New Roman" w:hAnsi="Times New Roman"/>
          <w:i/>
          <w:color w:val="000000"/>
          <w:sz w:val="24"/>
        </w:rPr>
        <w:t xml:space="preserve">provided </w:t>
      </w:r>
      <w:r>
        <w:rPr>
          <w:rFonts w:ascii="Times New Roman" w:hAnsi="Times New Roman"/>
          <w:color w:val="000000"/>
          <w:sz w:val="24"/>
        </w:rPr>
        <w:t>that in connection with their receipt of each Due Diligence Audit, the Group Agents in their reasonable credit judgment and after evaluation of the results of such audit may increase such percentage to an appropriate amount based on such review so long as (x) such increase is approved by the Majority Group Agents and (y) the Administrative Agent has provided the Seller and the Servicer with at least ten (10) Business Days’ advance notice of such increase.</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Optional Reduction Date</w:t>
      </w:r>
      <w:r>
        <w:rPr>
          <w:rFonts w:ascii="Times New Roman" w:hAnsi="Times New Roman"/>
          <w:color w:val="000000"/>
          <w:sz w:val="24"/>
        </w:rPr>
        <w:t>” means the date 5 Business Days after the delivery of a Reduction Notice made in accordance with Section 2.02(d) of the Receivables Purchase Agreement.</w:t>
      </w:r>
    </w:p>
    <w:p>
      <w:pPr>
        <w:pStyle w:val="TextBody"/>
        <w:bidi w:val="0"/>
        <w:spacing w:before="240" w:after="283"/>
        <w:jc w:val="both"/>
        <w:rPr/>
      </w:pPr>
      <w:r>
        <w:rPr>
          <w:color w:val="000000"/>
        </w:rPr>
        <w:t>“</w:t>
      </w:r>
      <w:r>
        <w:rPr>
          <w:rFonts w:ascii="Times New Roman" w:hAnsi="Times New Roman"/>
          <w:color w:val="000000"/>
          <w:sz w:val="24"/>
          <w:u w:val="single"/>
        </w:rPr>
        <w:t>Originator</w:t>
      </w:r>
      <w:r>
        <w:rPr>
          <w:rFonts w:ascii="Times New Roman" w:hAnsi="Times New Roman"/>
          <w:color w:val="000000"/>
          <w:sz w:val="24"/>
        </w:rPr>
        <w:t>” and “</w:t>
      </w:r>
      <w:r>
        <w:rPr>
          <w:rFonts w:ascii="Times New Roman" w:hAnsi="Times New Roman"/>
          <w:color w:val="000000"/>
          <w:sz w:val="24"/>
          <w:u w:val="single"/>
        </w:rPr>
        <w:t>Originators</w:t>
      </w:r>
      <w:r>
        <w:rPr>
          <w:rFonts w:ascii="Times New Roman" w:hAnsi="Times New Roman"/>
          <w:color w:val="000000"/>
          <w:sz w:val="24"/>
        </w:rPr>
        <w:t>” have the meaning set forth in the Purchase and Sale Agreements, as the same may be modified from time to time by adding new Originators or removing Originators, in each case in accordance with the prior written consent of the Administrative Agent.</w:t>
      </w:r>
    </w:p>
    <w:p>
      <w:pPr>
        <w:pStyle w:val="TextBody"/>
        <w:bidi w:val="0"/>
        <w:spacing w:before="240" w:after="283"/>
        <w:jc w:val="both"/>
        <w:rPr/>
      </w:pPr>
      <w:r>
        <w:rPr>
          <w:color w:val="000000"/>
        </w:rPr>
        <w:t>“</w:t>
      </w:r>
      <w:r>
        <w:rPr>
          <w:rFonts w:ascii="Times New Roman" w:hAnsi="Times New Roman"/>
          <w:color w:val="000000"/>
          <w:sz w:val="24"/>
          <w:u w:val="single"/>
        </w:rPr>
        <w:t>Other Connection Taxes</w:t>
      </w:r>
      <w:r>
        <w:rPr>
          <w:rFonts w:ascii="Times New Roman" w:hAnsi="Times New Roman"/>
          <w:color w:val="000000"/>
          <w:sz w:val="24"/>
        </w:rPr>
        <w:t>” means, with respect to any Affected Person, Taxes imposed as a result of a present or former connection between such Affected Person and the jurisdiction imposing such Tax (other than connections arising from such Affected Person having executed, delivered, become a party to, performed its obligations under, received payments under, received or perfected a security interest under, engaged in any other transaction pursuant to or enforced any Transaction Document, or sold or assigned an interest in any Capital or Transaction Document).</w:t>
      </w:r>
    </w:p>
    <w:p>
      <w:pPr>
        <w:pStyle w:val="TextBody"/>
        <w:bidi w:val="0"/>
        <w:spacing w:before="240" w:after="283"/>
        <w:jc w:val="both"/>
        <w:rPr/>
      </w:pPr>
      <w:r>
        <w:rPr>
          <w:color w:val="000000"/>
        </w:rPr>
        <w:t>“</w:t>
      </w:r>
      <w:r>
        <w:rPr>
          <w:rFonts w:ascii="Times New Roman" w:hAnsi="Times New Roman"/>
          <w:color w:val="000000"/>
          <w:sz w:val="24"/>
          <w:u w:val="single"/>
        </w:rPr>
        <w:t>Other Taxes</w:t>
      </w:r>
      <w:r>
        <w:rPr>
          <w:rFonts w:ascii="Times New Roman" w:hAnsi="Times New Roman"/>
          <w:color w:val="000000"/>
          <w:sz w:val="24"/>
        </w:rPr>
        <w:t>” means any and all present or future stamp, court or documentary, intangible, recording, filing or similar Taxes or any other excise or property Taxes, charges or similar levies or fees arising from any payment made pursuant to the Receivables Purchase Agreement or from the execution, delivery, filing, recording, performance, enforcement or registration of, from the receipt or perfection of a security interest under, or otherwise in respect of, this Agreement, the other Transaction Documents and the other documents or agreements to be delivered hereunder or thereunder.</w:t>
      </w:r>
    </w:p>
    <w:p>
      <w:pPr>
        <w:pStyle w:val="TextBody"/>
        <w:bidi w:val="0"/>
        <w:spacing w:before="240" w:after="283"/>
        <w:jc w:val="both"/>
        <w:rPr/>
      </w:pPr>
      <w:r>
        <w:rPr>
          <w:color w:val="000000"/>
        </w:rPr>
        <w:t>“</w:t>
      </w:r>
      <w:r>
        <w:rPr>
          <w:rFonts w:ascii="Times New Roman" w:hAnsi="Times New Roman"/>
          <w:color w:val="000000"/>
          <w:sz w:val="24"/>
          <w:u w:val="single"/>
        </w:rPr>
        <w:t>Outstanding Amount</w:t>
      </w:r>
      <w:r>
        <w:rPr>
          <w:rFonts w:ascii="Times New Roman" w:hAnsi="Times New Roman"/>
          <w:color w:val="000000"/>
          <w:sz w:val="24"/>
        </w:rPr>
        <w:t>” means with respect to Investments on any date, the Euro Equivalent amount of the aggregate outstanding Capital thereof after giving effect to any borrowings and prepayments or repayments of Capital, as the case may be, occurring on such date.</w:t>
      </w:r>
    </w:p>
    <w:p>
      <w:pPr>
        <w:pStyle w:val="TextBody"/>
        <w:bidi w:val="0"/>
        <w:spacing w:before="240" w:after="283"/>
        <w:jc w:val="both"/>
        <w:rPr/>
      </w:pPr>
      <w:r>
        <w:rPr>
          <w:color w:val="000000"/>
        </w:rPr>
        <w:t>“</w:t>
      </w:r>
      <w:r>
        <w:rPr>
          <w:rFonts w:ascii="Times New Roman" w:hAnsi="Times New Roman"/>
          <w:color w:val="000000"/>
          <w:sz w:val="24"/>
          <w:u w:val="single"/>
        </w:rPr>
        <w:t>Outstanding Balance</w:t>
      </w:r>
      <w:r>
        <w:rPr>
          <w:rFonts w:ascii="Times New Roman" w:hAnsi="Times New Roman"/>
          <w:color w:val="000000"/>
          <w:sz w:val="24"/>
        </w:rPr>
        <w:t>” means, at any time of determination, with respect to any Receivable, the Euro Equivalent of the then outstanding principal balance thereof.</w:t>
      </w:r>
    </w:p>
    <w:p>
      <w:pPr>
        <w:pStyle w:val="TextBody"/>
        <w:bidi w:val="0"/>
        <w:spacing w:before="240" w:after="283"/>
        <w:jc w:val="left"/>
        <w:rPr/>
      </w:pPr>
      <w:r>
        <w:rPr>
          <w:color w:val="000000"/>
        </w:rPr>
        <w:t>“</w:t>
      </w:r>
      <w:r>
        <w:rPr>
          <w:rFonts w:ascii="Times New Roman" w:hAnsi="Times New Roman"/>
          <w:color w:val="000000"/>
          <w:sz w:val="24"/>
          <w:u w:val="single"/>
        </w:rPr>
        <w:t>Parent</w:t>
      </w:r>
      <w:r>
        <w:rPr>
          <w:rFonts w:ascii="Times New Roman" w:hAnsi="Times New Roman"/>
          <w:color w:val="000000"/>
          <w:sz w:val="24"/>
        </w:rPr>
        <w:t>” means Ashland Specialties Ireland Limited.</w:t>
      </w:r>
    </w:p>
    <w:p>
      <w:pPr>
        <w:pStyle w:val="TextBody"/>
        <w:bidi w:val="0"/>
        <w:spacing w:before="240" w:after="283"/>
        <w:jc w:val="both"/>
        <w:rPr/>
      </w:pPr>
      <w:r>
        <w:rPr>
          <w:color w:val="000000"/>
        </w:rPr>
        <w:t>“</w:t>
      </w:r>
      <w:r>
        <w:rPr>
          <w:rFonts w:ascii="Times New Roman" w:hAnsi="Times New Roman"/>
          <w:color w:val="000000"/>
          <w:sz w:val="24"/>
          <w:u w:val="single"/>
        </w:rPr>
        <w:t>Participant</w:t>
      </w:r>
      <w:r>
        <w:rPr>
          <w:rFonts w:ascii="Times New Roman" w:hAnsi="Times New Roman"/>
          <w:color w:val="000000"/>
          <w:sz w:val="24"/>
        </w:rPr>
        <w:t xml:space="preserve">” has the meaning set forth in </w:t>
      </w:r>
      <w:r>
        <w:rPr>
          <w:rFonts w:ascii="Times New Roman" w:hAnsi="Times New Roman"/>
          <w:color w:val="000000"/>
          <w:sz w:val="24"/>
          <w:u w:val="single"/>
        </w:rPr>
        <w:t>Section 11.03(d)</w:t>
      </w:r>
      <w:r>
        <w:rPr>
          <w:rFonts w:ascii="Times New Roman" w:hAnsi="Times New Roman"/>
          <w:color w:val="000000"/>
          <w:sz w:val="24"/>
        </w:rPr>
        <w:t xml:space="preserve"> of the Receivables Purchase Agreement.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Participating Member State</w:t>
      </w:r>
      <w:r>
        <w:rPr>
          <w:rFonts w:ascii="Times New Roman" w:hAnsi="Times New Roman"/>
          <w:color w:val="000000"/>
          <w:sz w:val="24"/>
        </w:rPr>
        <w:t>” means any member state of the European Union that adopts or has adopted the Euro as its lawful currency in accordance with legislation of the European Union relating to Economic and Monetary Union.</w:t>
      </w:r>
    </w:p>
    <w:p>
      <w:pPr>
        <w:pStyle w:val="TextBody"/>
        <w:bidi w:val="0"/>
        <w:spacing w:before="240" w:after="283"/>
        <w:jc w:val="both"/>
        <w:rPr/>
      </w:pPr>
      <w:r>
        <w:rPr>
          <w:color w:val="000000"/>
        </w:rPr>
        <w:t>“</w:t>
      </w:r>
      <w:r>
        <w:rPr>
          <w:rFonts w:ascii="Times New Roman" w:hAnsi="Times New Roman"/>
          <w:color w:val="000000"/>
          <w:sz w:val="24"/>
          <w:u w:val="single"/>
        </w:rPr>
        <w:t>PATRIOT Act</w:t>
      </w:r>
      <w:r>
        <w:rPr>
          <w:rFonts w:ascii="Times New Roman" w:hAnsi="Times New Roman"/>
          <w:color w:val="000000"/>
          <w:sz w:val="24"/>
        </w:rPr>
        <w:t xml:space="preserve">” has the meaning set forth in </w:t>
      </w:r>
      <w:r>
        <w:rPr>
          <w:rFonts w:ascii="Times New Roman" w:hAnsi="Times New Roman"/>
          <w:color w:val="000000"/>
          <w:sz w:val="24"/>
          <w:u w:val="single"/>
        </w:rPr>
        <w:t>Section 11.12</w:t>
      </w:r>
      <w:r>
        <w:rPr>
          <w:rFonts w:ascii="Times New Roman" w:hAnsi="Times New Roman"/>
          <w:color w:val="000000"/>
          <w:sz w:val="24"/>
        </w:rPr>
        <w:t xml:space="preserve"> of the Receivables Purchase Agreement.</w:t>
      </w:r>
    </w:p>
    <w:p>
      <w:pPr>
        <w:pStyle w:val="TextBody"/>
        <w:bidi w:val="0"/>
        <w:spacing w:before="240" w:after="283"/>
        <w:jc w:val="both"/>
        <w:rPr/>
      </w:pPr>
      <w:r>
        <w:rPr>
          <w:color w:val="000000"/>
        </w:rPr>
        <w:t>“</w:t>
      </w:r>
      <w:r>
        <w:rPr>
          <w:rFonts w:ascii="Times New Roman" w:hAnsi="Times New Roman"/>
          <w:color w:val="000000"/>
          <w:sz w:val="24"/>
          <w:u w:val="single"/>
        </w:rPr>
        <w:t>Pension Plan</w:t>
      </w:r>
      <w:r>
        <w:rPr>
          <w:rFonts w:ascii="Times New Roman" w:hAnsi="Times New Roman"/>
          <w:color w:val="000000"/>
          <w:sz w:val="24"/>
        </w:rPr>
        <w:t>” means an employee pension benefit plan as defined in Section 3(2) of ERISA, which is subject to Title IV of ERISA (other than a Multiemployer Plan) and to which any Originator, the Seller, the Servicer, the Parent, Ashland or an ERISA Affiliate may have any liability, including any liability by reason of having been a substantial employer within the meaning of Section 4063 of ERISA or by reason of being deemed to be a contributing sponsor under Section 4069 of ERISA.</w:t>
      </w:r>
    </w:p>
    <w:p>
      <w:pPr>
        <w:pStyle w:val="TextBody"/>
        <w:bidi w:val="0"/>
        <w:spacing w:before="240" w:after="283"/>
        <w:jc w:val="both"/>
        <w:rPr/>
      </w:pPr>
      <w:r>
        <w:rPr>
          <w:color w:val="000000"/>
        </w:rPr>
        <w:t>“</w:t>
      </w:r>
      <w:r>
        <w:rPr>
          <w:rFonts w:ascii="Times New Roman" w:hAnsi="Times New Roman"/>
          <w:color w:val="000000"/>
          <w:sz w:val="24"/>
          <w:u w:val="single"/>
        </w:rPr>
        <w:t>Percentage</w:t>
      </w:r>
      <w:r>
        <w:rPr>
          <w:rFonts w:ascii="Times New Roman" w:hAnsi="Times New Roman"/>
          <w:color w:val="000000"/>
          <w:sz w:val="24"/>
        </w:rPr>
        <w:t>” means, at any time of determination, with respect to any Committed Purchaser, a fraction (expressed as a percentage), (a) the numerator of which is (i) prior to the termination of all Commitments pursuant to the Receivables Purchase Agreement, its Commitment at such time or (ii) if all Commitments pursuant to the Receivables Purchase Agreement have been terminated, the aggregate outstanding Capital of all Purchasers in such Committed Purchaser’s Group at such time and (b) the denominator of which is (i) prior to the termination of all Commitments pursuant to the Receivables Purchase Agreement, the aggregate Commitments of all Committed Purchasers at such time or (ii) if all Commitments pursuant to the Receivables Purchase Agreement have been terminated, the Aggregate Capital at such time.</w:t>
      </w:r>
    </w:p>
    <w:p>
      <w:pPr>
        <w:pStyle w:val="TextBody"/>
        <w:bidi w:val="0"/>
        <w:spacing w:before="240" w:after="283"/>
        <w:jc w:val="both"/>
        <w:rPr/>
      </w:pPr>
      <w:r>
        <w:rPr>
          <w:color w:val="000000"/>
        </w:rPr>
        <w:t>“</w:t>
      </w:r>
      <w:r>
        <w:rPr>
          <w:rFonts w:ascii="Times New Roman" w:hAnsi="Times New Roman"/>
          <w:color w:val="000000"/>
          <w:sz w:val="24"/>
          <w:u w:val="single"/>
        </w:rPr>
        <w:t>Performance Guarantor</w:t>
      </w:r>
      <w:r>
        <w:rPr>
          <w:rFonts w:ascii="Times New Roman" w:hAnsi="Times New Roman"/>
          <w:color w:val="000000"/>
          <w:sz w:val="24"/>
        </w:rPr>
        <w:t>” means Ashland and any other Person that becomes a party to the Performance Guarantee as a guarantor thereunder.</w:t>
      </w:r>
    </w:p>
    <w:p>
      <w:pPr>
        <w:pStyle w:val="TextBody"/>
        <w:bidi w:val="0"/>
        <w:spacing w:before="240" w:after="283"/>
        <w:jc w:val="both"/>
        <w:rPr/>
      </w:pPr>
      <w:r>
        <w:rPr>
          <w:color w:val="000000"/>
        </w:rPr>
        <w:t>“</w:t>
      </w:r>
      <w:r>
        <w:rPr>
          <w:rFonts w:ascii="Times New Roman" w:hAnsi="Times New Roman"/>
          <w:color w:val="000000"/>
          <w:sz w:val="24"/>
          <w:u w:val="single"/>
        </w:rPr>
        <w:t>Performance Guarantee</w:t>
      </w:r>
      <w:r>
        <w:rPr>
          <w:rFonts w:ascii="Times New Roman" w:hAnsi="Times New Roman"/>
          <w:color w:val="000000"/>
          <w:sz w:val="24"/>
        </w:rPr>
        <w:t>” means the Ashland Undertaking, dated as of the Closing Date, by Ashland, as guarantor, in favour of the Administrative Agent for the benefit of the Secured Parties.</w:t>
      </w:r>
    </w:p>
    <w:p>
      <w:pPr>
        <w:pStyle w:val="TextBody"/>
        <w:bidi w:val="0"/>
        <w:spacing w:before="240" w:after="283"/>
        <w:jc w:val="both"/>
        <w:rPr/>
      </w:pPr>
      <w:r>
        <w:rPr>
          <w:color w:val="000000"/>
        </w:rPr>
        <w:t>“</w:t>
      </w:r>
      <w:r>
        <w:rPr>
          <w:rFonts w:ascii="Times New Roman" w:hAnsi="Times New Roman"/>
          <w:color w:val="000000"/>
          <w:sz w:val="24"/>
          <w:u w:val="single"/>
        </w:rPr>
        <w:t>Person</w:t>
      </w:r>
      <w:r>
        <w:rPr>
          <w:rFonts w:ascii="Times New Roman" w:hAnsi="Times New Roman"/>
          <w:color w:val="000000"/>
          <w:sz w:val="24"/>
        </w:rPr>
        <w:t>” means an individual, partnership, corporation (including a business trust), joint stock company, trust, unincorporated association, joint venture, limited liability company or other entity, or any Governmental Authority.</w:t>
      </w:r>
    </w:p>
    <w:p>
      <w:pPr>
        <w:pStyle w:val="TextBody"/>
        <w:bidi w:val="0"/>
        <w:spacing w:before="240" w:after="283"/>
        <w:jc w:val="both"/>
        <w:rPr/>
      </w:pPr>
      <w:r>
        <w:rPr>
          <w:color w:val="000000"/>
        </w:rPr>
        <w:t>“</w:t>
      </w:r>
      <w:r>
        <w:rPr>
          <w:rFonts w:ascii="Times New Roman" w:hAnsi="Times New Roman"/>
          <w:color w:val="000000"/>
          <w:sz w:val="24"/>
          <w:u w:val="single"/>
        </w:rPr>
        <w:t>Pool Receivable</w:t>
      </w:r>
      <w:r>
        <w:rPr>
          <w:rFonts w:ascii="Times New Roman" w:hAnsi="Times New Roman"/>
          <w:color w:val="000000"/>
          <w:sz w:val="24"/>
        </w:rPr>
        <w:t>” means a Receivable in the Receivables Pool. For the avoidance of doubt, the Pool Receivables shall include both Sold Receivables and Unsold Receivables.</w:t>
      </w:r>
    </w:p>
    <w:p>
      <w:pPr>
        <w:pStyle w:val="TextBody"/>
        <w:bidi w:val="0"/>
        <w:spacing w:before="240" w:after="283"/>
        <w:jc w:val="both"/>
        <w:rPr/>
      </w:pPr>
      <w:r>
        <w:rPr>
          <w:color w:val="000000"/>
        </w:rPr>
        <w:t>“</w:t>
      </w:r>
      <w:r>
        <w:rPr>
          <w:rFonts w:ascii="Times New Roman" w:hAnsi="Times New Roman"/>
          <w:color w:val="000000"/>
          <w:sz w:val="24"/>
          <w:u w:val="single"/>
        </w:rPr>
        <w:t>Portion of Capital</w:t>
      </w:r>
      <w:r>
        <w:rPr>
          <w:rFonts w:ascii="Times New Roman" w:hAnsi="Times New Roman"/>
          <w:color w:val="000000"/>
          <w:sz w:val="24"/>
        </w:rPr>
        <w:t>” means, with respect to any Purchaser and its related Capital, the portion of such Capital being funded or maintained by such Purchaser by reference to a particular interest rate basis.</w:t>
      </w:r>
    </w:p>
    <w:p>
      <w:pPr>
        <w:pStyle w:val="TextBody"/>
        <w:bidi w:val="0"/>
        <w:spacing w:before="240" w:after="283"/>
        <w:jc w:val="both"/>
        <w:rPr/>
      </w:pPr>
      <w:r>
        <w:rPr>
          <w:color w:val="000000"/>
        </w:rPr>
        <w:t>“</w:t>
      </w:r>
      <w:r>
        <w:rPr>
          <w:rFonts w:ascii="Times New Roman" w:hAnsi="Times New Roman"/>
          <w:color w:val="000000"/>
          <w:sz w:val="24"/>
          <w:u w:val="single"/>
        </w:rPr>
        <w:t>Prior Fee Letter</w:t>
      </w:r>
      <w:r>
        <w:rPr>
          <w:rFonts w:ascii="Times New Roman" w:hAnsi="Times New Roman"/>
          <w:color w:val="000000"/>
          <w:sz w:val="24"/>
        </w:rPr>
        <w:t>” has the meaning given to that term in the 2026 Fee Letter.</w:t>
      </w:r>
    </w:p>
    <w:p>
      <w:pPr>
        <w:pStyle w:val="TextBody"/>
        <w:bidi w:val="0"/>
        <w:spacing w:before="240" w:after="283"/>
        <w:jc w:val="both"/>
        <w:rPr/>
      </w:pPr>
      <w:r>
        <w:rPr>
          <w:color w:val="000000"/>
        </w:rPr>
        <w:t>“</w:t>
      </w:r>
      <w:r>
        <w:rPr>
          <w:rFonts w:ascii="Times New Roman" w:hAnsi="Times New Roman"/>
          <w:color w:val="000000"/>
          <w:sz w:val="24"/>
          <w:u w:val="single"/>
        </w:rPr>
        <w:t>Program Support Agreement</w:t>
      </w:r>
      <w:r>
        <w:rPr>
          <w:rFonts w:ascii="Times New Roman" w:hAnsi="Times New Roman"/>
          <w:color w:val="000000"/>
          <w:sz w:val="24"/>
        </w:rPr>
        <w:t xml:space="preserve">” means and includes any Liquidity Agreement and any other agreement entered into by any Program Support Provider providing for: (a) the issuance of one or more letters of credit for the account of any Conduit Purchaser, (b) the issuance of one or more surety bonds for which any Conduit Purchaser is obligated to reimburse the applicable Program Support Provider for any drawings thereunder, (c) the sale by any Conduit Purchaser to any Program Support Provider of any Capital (or portions thereof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or participation interest therein) maintained by such Conduit Purchaser and/or (d) the making of loans and/or other extensions of credit to any Conduit Purchaser in connection with such Conduit Purchaser’s receivables-securitization program contemplated in the Receivables Purchase Agreement, together with any letter of credit, surety bond or other instrument issued thereunder.</w:t>
      </w:r>
    </w:p>
    <w:p>
      <w:pPr>
        <w:pStyle w:val="TextBody"/>
        <w:bidi w:val="0"/>
        <w:spacing w:before="240" w:after="283"/>
        <w:jc w:val="both"/>
        <w:rPr/>
      </w:pPr>
      <w:r>
        <w:rPr>
          <w:color w:val="000000"/>
        </w:rPr>
        <w:t>“</w:t>
      </w:r>
      <w:r>
        <w:rPr>
          <w:rFonts w:ascii="Times New Roman" w:hAnsi="Times New Roman"/>
          <w:color w:val="000000"/>
          <w:sz w:val="24"/>
          <w:u w:val="single"/>
        </w:rPr>
        <w:t>Program Support Provider</w:t>
      </w:r>
      <w:r>
        <w:rPr>
          <w:rFonts w:ascii="Times New Roman" w:hAnsi="Times New Roman"/>
          <w:color w:val="000000"/>
          <w:sz w:val="24"/>
        </w:rPr>
        <w:t>” means and includes, with respect to any Conduit Purchaser, any Liquidity Provider and any other Person (other than any customer of such Conduit Purchaser) now or hereafter extending credit or having a commitment to extend credit to or for the account of, or to make purchases from, such Conduit Purchaser pursuant to any Program Support Agreement.</w:t>
      </w:r>
    </w:p>
    <w:p>
      <w:pPr>
        <w:pStyle w:val="TextBody"/>
        <w:bidi w:val="0"/>
        <w:spacing w:before="240" w:after="283"/>
        <w:jc w:val="both"/>
        <w:rPr/>
      </w:pPr>
      <w:r>
        <w:rPr>
          <w:color w:val="000000"/>
        </w:rPr>
        <w:t>“</w:t>
      </w:r>
      <w:r>
        <w:rPr>
          <w:rFonts w:ascii="Times New Roman" w:hAnsi="Times New Roman"/>
          <w:color w:val="000000"/>
          <w:sz w:val="24"/>
          <w:u w:val="single"/>
        </w:rPr>
        <w:t>Purchase and Sale Agreements</w:t>
      </w:r>
      <w:r>
        <w:rPr>
          <w:rFonts w:ascii="Times New Roman" w:hAnsi="Times New Roman"/>
          <w:color w:val="000000"/>
          <w:sz w:val="24"/>
        </w:rPr>
        <w:t>” means together the French Purchase and Sale Agreement, the German Purchase and Sale Agreement, the Italian Purchase and Sale Agreement, the Singapore Purchase and Sale Agreement, the Spanish Purchase and Sale Agreement, the Swiss Purchase and Sale Agreement, the UK Purchase and Sale Agreement and the Irish Purchase and Sale Agreement and each a “</w:t>
      </w:r>
      <w:r>
        <w:rPr>
          <w:rFonts w:ascii="Times New Roman" w:hAnsi="Times New Roman"/>
          <w:color w:val="000000"/>
          <w:sz w:val="24"/>
          <w:u w:val="single"/>
        </w:rPr>
        <w:t>Purchase and Sale Agreement</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Purchase and Sale Termination Event</w:t>
      </w:r>
      <w:r>
        <w:rPr>
          <w:rFonts w:ascii="Times New Roman" w:hAnsi="Times New Roman"/>
          <w:color w:val="000000"/>
          <w:sz w:val="24"/>
        </w:rPr>
        <w:t>” has the meaning set forth in the relevant Purchase and Sale Agreement.</w:t>
      </w:r>
    </w:p>
    <w:p>
      <w:pPr>
        <w:pStyle w:val="TextBody"/>
        <w:bidi w:val="0"/>
        <w:spacing w:before="240" w:after="283"/>
        <w:jc w:val="both"/>
        <w:rPr/>
      </w:pPr>
      <w:r>
        <w:rPr>
          <w:color w:val="000000"/>
        </w:rPr>
        <w:t>“</w:t>
      </w:r>
      <w:r>
        <w:rPr>
          <w:rFonts w:ascii="Times New Roman" w:hAnsi="Times New Roman"/>
          <w:color w:val="000000"/>
          <w:sz w:val="24"/>
          <w:u w:val="single"/>
        </w:rPr>
        <w:t>Purchaser Party</w:t>
      </w:r>
      <w:r>
        <w:rPr>
          <w:rFonts w:ascii="Times New Roman" w:hAnsi="Times New Roman"/>
          <w:color w:val="000000"/>
          <w:sz w:val="24"/>
        </w:rPr>
        <w:t>” means each Purchaser, the Administrative Agent and each Group Agent.</w:t>
      </w:r>
    </w:p>
    <w:p>
      <w:pPr>
        <w:pStyle w:val="TextBody"/>
        <w:bidi w:val="0"/>
        <w:spacing w:before="240" w:after="283"/>
        <w:jc w:val="both"/>
        <w:rPr/>
      </w:pPr>
      <w:r>
        <w:rPr>
          <w:color w:val="000000"/>
        </w:rPr>
        <w:t>“</w:t>
      </w:r>
      <w:r>
        <w:rPr>
          <w:rFonts w:ascii="Times New Roman" w:hAnsi="Times New Roman"/>
          <w:color w:val="000000"/>
          <w:sz w:val="24"/>
          <w:u w:val="single"/>
        </w:rPr>
        <w:t>Purchasers</w:t>
      </w:r>
      <w:r>
        <w:rPr>
          <w:rFonts w:ascii="Times New Roman" w:hAnsi="Times New Roman"/>
          <w:color w:val="000000"/>
          <w:sz w:val="24"/>
        </w:rPr>
        <w:t xml:space="preserve">” means the Conduit Purchasers and the Committed Purchasers. </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Qualifying Person</w:t>
      </w:r>
      <w:r>
        <w:rPr>
          <w:rFonts w:ascii="Times New Roman" w:hAnsi="Times New Roman"/>
          <w:color w:val="000000"/>
          <w:sz w:val="24"/>
        </w:rPr>
        <w:t>” means a person which at the time the payment is made, is beneficially entitled to the interest payable to that person in respect of an advance under a Transaction Document:</w:t>
      </w:r>
    </w:p>
    <w:p>
      <w:pPr>
        <w:pStyle w:val="TextBody"/>
        <w:bidi w:val="0"/>
        <w:spacing w:before="240" w:after="283"/>
        <w:jc w:val="both"/>
        <w:rPr>
          <w:rFonts w:ascii="Times New Roman" w:hAnsi="Times New Roman"/>
          <w:sz w:val="24"/>
        </w:rPr>
      </w:pPr>
      <w:r>
        <w:rPr>
          <w:rFonts w:ascii="Times New Roman" w:hAnsi="Times New Roman"/>
          <w:color w:val="000000"/>
          <w:sz w:val="24"/>
        </w:rPr>
        <w:t>(a) which is a bank within the meaning of section 246(3) of the Taxes Consolidation Act 1997 (the “</w:t>
      </w:r>
      <w:r>
        <w:rPr>
          <w:rFonts w:ascii="Times New Roman" w:hAnsi="Times New Roman"/>
          <w:color w:val="000000"/>
          <w:sz w:val="24"/>
          <w:u w:val="single"/>
        </w:rPr>
        <w:t>TCA</w:t>
      </w:r>
      <w:r>
        <w:rPr>
          <w:rFonts w:ascii="Times New Roman" w:hAnsi="Times New Roman"/>
          <w:color w:val="000000"/>
          <w:sz w:val="24"/>
        </w:rPr>
        <w:t>”) which is carrying on a bona fide banking business in Ireland for the purposes of section 246(3)(a) of the TCA;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which is a company (within the meaning of Section 246 of the TCA);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which, by virtue of the law of a Relevant Territory is resident in the Relevant Territory for the purposes of tax and that jurisdiction imposes a tax that generally applies to interest receivable in that jurisdiction by companies from sources outside that jurisdiction; or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 in receipt of interest under a Transaction Document which: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is exempted from the charge to Irish income tax pursuant to the terms of a double taxation treaty entered into between Ireland and another jurisdiction that is in force on the date the relevant interest is paid;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(B) would be exempted from the charge to Irish income tax pursuant to the terms of a double taxation treaty entered into between Ireland and another jurisdiction signed on or before the date on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which the relevant interest is paid but not in force on that date, assuming that treaty had the force of law on that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provided that, in the case of both (i) and (ii) above, such company does not provide its commitment in connection with a trade or business which is carried on in Ireland through a branch or agency in Ireland;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which is a company that is incorporated in the U.S.A. and is subject to tax on its worldwide income provided that such company does not provide its commitment in connection with a trade or business which is carried on in Ireland through a branch or agency in Ireland;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 which is a U.S. LLC, where the ultimate recipients of the interest payable to that LLC satisfy the requirements set out in (ii) or (iii) above and the business conducted through the LLC is so structured for non-tax commercial reasons and not for tax avoidance purposes, provided that such LLC does not provide its commitment in connection with a trade or business which is carried on by it in Ireland through a branch or agency in Ireland;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 which is a company (within the meaning of Section 246 of the TCA);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which advances money in the ordinary course of a trade which includes the lending of money;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in whose hands any interest payable in respect of money so advanced is taken into account in computing the trading income of that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which has complied with the notification requirements set out in Section 246(5)(a) of the TCA;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 whose lending office is located in Ireland;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 which is a qualifying company (within the meaning of section 110 of the TCA);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 which is an investment undertaking (within the meaning of Section 739B of the TCA);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 which is an exempt approved scheme (within the meaning of Section 774 of the TCA);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which is a person in respect of which the Seller is a 51 per cent subsidiary within the meaning of Section 410 of the TCA; (ii) such person is resident in Ireland for tax purposes and (iii) the profits on any sale or assignment of any loan by such person would not be treated as a trading receipt.</w:t>
      </w:r>
    </w:p>
    <w:p>
      <w:pPr>
        <w:pStyle w:val="TextBody"/>
        <w:bidi w:val="0"/>
        <w:spacing w:before="240" w:after="283"/>
        <w:jc w:val="both"/>
        <w:rPr/>
      </w:pPr>
      <w:r>
        <w:rPr>
          <w:color w:val="000000"/>
        </w:rPr>
        <w:t>“</w:t>
      </w:r>
      <w:r>
        <w:rPr>
          <w:rFonts w:ascii="Times New Roman" w:hAnsi="Times New Roman"/>
          <w:color w:val="000000"/>
          <w:sz w:val="24"/>
          <w:u w:val="single"/>
        </w:rPr>
        <w:t>Rate Determination Date</w:t>
      </w:r>
      <w:r>
        <w:rPr>
          <w:rFonts w:ascii="Times New Roman" w:hAnsi="Times New Roman"/>
          <w:color w:val="000000"/>
          <w:sz w:val="24"/>
        </w:rPr>
        <w:t xml:space="preserve">” means two (2) Business Days prior to the commencement of such Yield Period (or such other day as is generally treated as the rate fixing day by market practice in such interbank market, as determined by the Administrative Agent; provided that, to the extent such market practice is not administratively feasible for the Administrative Agent,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then “Rate Determination Date” means such other day as otherwise reasonably determined by the Administrative Agent).</w:t>
      </w:r>
    </w:p>
    <w:p>
      <w:pPr>
        <w:pStyle w:val="TextBody"/>
        <w:bidi w:val="0"/>
        <w:spacing w:before="240" w:after="283"/>
        <w:jc w:val="both"/>
        <w:rPr/>
      </w:pPr>
      <w:r>
        <w:rPr>
          <w:color w:val="000000"/>
        </w:rPr>
        <w:t>“</w:t>
      </w:r>
      <w:r>
        <w:rPr>
          <w:rFonts w:ascii="Times New Roman" w:hAnsi="Times New Roman"/>
          <w:color w:val="000000"/>
          <w:sz w:val="24"/>
          <w:u w:val="single"/>
        </w:rPr>
        <w:t>Rating Agency</w:t>
      </w:r>
      <w:r>
        <w:rPr>
          <w:rFonts w:ascii="Times New Roman" w:hAnsi="Times New Roman"/>
          <w:color w:val="000000"/>
          <w:sz w:val="24"/>
        </w:rPr>
        <w:t>” mean each of S&amp;P, Fitch and Moody’s (and/or each other rating agency then rating the Commercial Paper of any Conduit Purchaser).</w:t>
      </w:r>
    </w:p>
    <w:p>
      <w:pPr>
        <w:pStyle w:val="TextBody"/>
        <w:bidi w:val="0"/>
        <w:spacing w:before="240" w:after="283"/>
        <w:jc w:val="both"/>
        <w:rPr/>
      </w:pPr>
      <w:r>
        <w:rPr>
          <w:color w:val="000000"/>
        </w:rPr>
        <w:t>“</w:t>
      </w:r>
      <w:r>
        <w:rPr>
          <w:rFonts w:ascii="Times New Roman" w:hAnsi="Times New Roman"/>
          <w:color w:val="000000"/>
          <w:sz w:val="24"/>
          <w:u w:val="single"/>
        </w:rPr>
        <w:t>Receivable</w:t>
      </w:r>
      <w:r>
        <w:rPr>
          <w:rFonts w:ascii="Times New Roman" w:hAnsi="Times New Roman"/>
          <w:color w:val="000000"/>
          <w:sz w:val="24"/>
        </w:rPr>
        <w:t>” means any present, future or contingent right to payment of a monetary obligation, whether or not earned by performance, owed to any Originator or the Seller (as assignee of an Originator), whether constituting an account, chattel paper, payment intangible, instrument or general intangible, in each instance arising in connection with the sale of goods that have been or are to be sold or for services rendered or to be rendered, and includes, without limitation, the obligation to pay any service charges, finance charges, interest, fees, tax, duty and other charges with respect thereto. Any such right to payment arising from any one transaction, including, without limitation, any such right to payment represented by an individual invoice or agreement, shall constitute a Receivable separate from a Receivable consisting of any such right to payment arising from any other transaction.</w:t>
      </w:r>
    </w:p>
    <w:p>
      <w:pPr>
        <w:pStyle w:val="TextBody"/>
        <w:bidi w:val="0"/>
        <w:spacing w:before="240" w:after="283"/>
        <w:jc w:val="both"/>
        <w:rPr/>
      </w:pPr>
      <w:r>
        <w:rPr>
          <w:color w:val="000000"/>
        </w:rPr>
        <w:t>“</w:t>
      </w:r>
      <w:r>
        <w:rPr>
          <w:rFonts w:ascii="Times New Roman" w:hAnsi="Times New Roman"/>
          <w:color w:val="000000"/>
          <w:sz w:val="24"/>
          <w:u w:val="single"/>
        </w:rPr>
        <w:t>Receivables Pool</w:t>
      </w:r>
      <w:r>
        <w:rPr>
          <w:rFonts w:ascii="Times New Roman" w:hAnsi="Times New Roman"/>
          <w:color w:val="000000"/>
          <w:sz w:val="24"/>
        </w:rPr>
        <w:t>” means, at any time of determination, all of the then outstanding Receivables (including both Sold Receivables and Unsold Receivables) transferred (or purported to be transferred) to the Seller pursuant to the Purchase and Sale Agreements prior to the Termination Date.</w:t>
      </w:r>
    </w:p>
    <w:p>
      <w:pPr>
        <w:pStyle w:val="TextBody"/>
        <w:bidi w:val="0"/>
        <w:spacing w:before="240" w:after="283"/>
        <w:jc w:val="both"/>
        <w:rPr/>
      </w:pPr>
      <w:r>
        <w:rPr>
          <w:color w:val="000000"/>
        </w:rPr>
        <w:t>“</w:t>
      </w:r>
      <w:r>
        <w:rPr>
          <w:rFonts w:ascii="Times New Roman" w:hAnsi="Times New Roman"/>
          <w:color w:val="000000"/>
          <w:sz w:val="24"/>
          <w:u w:val="single"/>
        </w:rPr>
        <w:t>Regulation</w:t>
      </w:r>
      <w:r>
        <w:rPr>
          <w:rFonts w:ascii="Times New Roman" w:hAnsi="Times New Roman"/>
          <w:color w:val="000000"/>
          <w:sz w:val="24"/>
        </w:rPr>
        <w:t>” means Regulation (EU) 2015/848 of the European Parliament and of the Council of 20 May 2015 on insolvency proceedings (recast).</w:t>
      </w:r>
    </w:p>
    <w:p>
      <w:pPr>
        <w:pStyle w:val="TextBody"/>
        <w:bidi w:val="0"/>
        <w:spacing w:before="240" w:after="283"/>
        <w:jc w:val="both"/>
        <w:rPr/>
      </w:pPr>
      <w:r>
        <w:rPr>
          <w:color w:val="000000"/>
        </w:rPr>
        <w:t>“</w:t>
      </w:r>
      <w:r>
        <w:rPr>
          <w:rFonts w:ascii="Times New Roman" w:hAnsi="Times New Roman"/>
          <w:color w:val="000000"/>
          <w:sz w:val="24"/>
          <w:u w:val="single"/>
        </w:rPr>
        <w:t>Related Committed Purchaser</w:t>
      </w:r>
      <w:r>
        <w:rPr>
          <w:rFonts w:ascii="Times New Roman" w:hAnsi="Times New Roman"/>
          <w:color w:val="000000"/>
          <w:sz w:val="24"/>
        </w:rPr>
        <w:t>” means with respect to any Conduit Purchaser, each Committed Purchaser listed as such for each Conduit Purchaser as set forth on the signature pages of the Receivables Purchase Agreement or in any Assumption Agreement.</w:t>
      </w:r>
    </w:p>
    <w:p>
      <w:pPr>
        <w:pStyle w:val="TextBody"/>
        <w:bidi w:val="0"/>
        <w:spacing w:before="240" w:after="283"/>
        <w:jc w:val="both"/>
        <w:rPr/>
      </w:pPr>
      <w:r>
        <w:rPr>
          <w:color w:val="000000"/>
        </w:rPr>
        <w:t>“</w:t>
      </w:r>
      <w:r>
        <w:rPr>
          <w:rFonts w:ascii="Times New Roman" w:hAnsi="Times New Roman"/>
          <w:color w:val="000000"/>
          <w:sz w:val="24"/>
          <w:u w:val="single"/>
        </w:rPr>
        <w:t>Related Conduit Purchaser</w:t>
      </w:r>
      <w:r>
        <w:rPr>
          <w:rFonts w:ascii="Times New Roman" w:hAnsi="Times New Roman"/>
          <w:color w:val="000000"/>
          <w:sz w:val="24"/>
        </w:rPr>
        <w:t>” means, with respect to any Committed Purchaser, each Conduit Purchaser which is, or pursuant to any Assignment and Acceptance Agreement or Assumption Agreement or otherwise pursuant to the Receivables Purchase Agreement becomes, included as a Conduit Purchaser in such Committed Purchaser’s Group, as designated on its signature page hereto or in such Assignment and Acceptance Agreement, Assumption Agreement or other agreement executed by such Committed Purchaser, as the case may be.</w:t>
      </w:r>
    </w:p>
    <w:p>
      <w:pPr>
        <w:pStyle w:val="TextBody"/>
        <w:bidi w:val="0"/>
        <w:spacing w:before="240" w:after="283"/>
        <w:jc w:val="left"/>
        <w:rPr/>
      </w:pPr>
      <w:r>
        <w:rPr>
          <w:color w:val="000000"/>
        </w:rPr>
        <w:t>“</w:t>
      </w:r>
      <w:r>
        <w:rPr>
          <w:rFonts w:ascii="Times New Roman" w:hAnsi="Times New Roman"/>
          <w:color w:val="000000"/>
          <w:sz w:val="24"/>
          <w:u w:val="single"/>
        </w:rPr>
        <w:t>Related Rights</w:t>
      </w:r>
      <w:r>
        <w:rPr>
          <w:rFonts w:ascii="Times New Roman" w:hAnsi="Times New Roman"/>
          <w:color w:val="000000"/>
          <w:sz w:val="24"/>
        </w:rPr>
        <w:t>” has the meaning set forth in each Purchase and Sale Agreement.</w:t>
      </w:r>
    </w:p>
    <w:p>
      <w:pPr>
        <w:pStyle w:val="TextBody"/>
        <w:bidi w:val="0"/>
        <w:spacing w:before="240" w:after="283"/>
        <w:jc w:val="left"/>
        <w:rPr/>
      </w:pPr>
      <w:r>
        <w:rPr>
          <w:color w:val="000000"/>
        </w:rPr>
        <w:t>“</w:t>
      </w:r>
      <w:r>
        <w:rPr>
          <w:rFonts w:ascii="Times New Roman" w:hAnsi="Times New Roman"/>
          <w:color w:val="000000"/>
          <w:sz w:val="24"/>
          <w:u w:val="single"/>
        </w:rPr>
        <w:t>Related Security</w:t>
      </w:r>
      <w:r>
        <w:rPr>
          <w:rFonts w:ascii="Times New Roman" w:hAnsi="Times New Roman"/>
          <w:color w:val="000000"/>
          <w:sz w:val="24"/>
        </w:rPr>
        <w:t>” means, with respect to any Receivable: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all of the Seller’s and each Originator’s interest in any goods (including Returned Goods), and documentation of title evidencing the shipment or storage of any goods (including Returned Goods), the sale of which gave rise to such Receivable;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 all instruments and chattel paper that may evidence such Receivable;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all letter of credit rights, other security interests or liens and property subject thereto from time to time purporting to secure payment of such Receivable, whether pursuant to the Contract related to such Receivable or otherwise, together with all filings relating thereto;</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 all of the Seller’s and each Originator’s rights, interests and claims under the related Contracts and all supporting obligations, guaranties, indemnities, letters of credit (including any letter-of-credit rights), insurance and other agreements (including the related Contract) or arrangements of whatever character from time to time supporting or securing payment of such Receivable or otherwise relating to such Receivable, whether pursuant to the Contract related to such Receivable or otherwise;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 all books and records of the Seller and each Originator to the extent related to any of the foregoing, and all rights, remedies, powers, privileges, title and interest (but not obligations) in and to all Collection Accounts and/or Seller Collection Accounts, into which any Collections or other proceeds with respect to such Receivables may be deposited, and any related investment property acquired with any such Collections or other proceeds;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 all of the Seller’s rights, interests and claims under each Purchase and Sale Agreement and the other Transaction Documents;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 all Collections and other proceeds of any of the foregoing.</w:t>
      </w:r>
    </w:p>
    <w:p>
      <w:pPr>
        <w:pStyle w:val="TextBody"/>
        <w:bidi w:val="0"/>
        <w:spacing w:before="240" w:after="283"/>
        <w:jc w:val="both"/>
        <w:rPr/>
      </w:pPr>
      <w:r>
        <w:rPr>
          <w:color w:val="000000"/>
        </w:rPr>
        <w:t>“</w:t>
      </w:r>
      <w:r>
        <w:rPr>
          <w:rFonts w:ascii="Times New Roman" w:hAnsi="Times New Roman"/>
          <w:color w:val="000000"/>
          <w:sz w:val="24"/>
          <w:u w:val="single"/>
        </w:rPr>
        <w:t>Release</w:t>
      </w:r>
      <w:r>
        <w:rPr>
          <w:rFonts w:ascii="Times New Roman" w:hAnsi="Times New Roman"/>
          <w:color w:val="000000"/>
          <w:sz w:val="24"/>
        </w:rPr>
        <w:t xml:space="preserve">” has the meaning set forth in </w:t>
      </w:r>
      <w:r>
        <w:rPr>
          <w:rFonts w:ascii="Times New Roman" w:hAnsi="Times New Roman"/>
          <w:color w:val="000000"/>
          <w:sz w:val="24"/>
          <w:u w:val="single"/>
        </w:rPr>
        <w:t>Section 3.01(a)</w:t>
      </w:r>
      <w:r>
        <w:rPr>
          <w:rFonts w:ascii="Times New Roman" w:hAnsi="Times New Roman"/>
          <w:color w:val="000000"/>
          <w:sz w:val="24"/>
        </w:rPr>
        <w:t xml:space="preserve"> of the Receivables Purchase Agreement.</w:t>
      </w:r>
    </w:p>
    <w:p>
      <w:pPr>
        <w:pStyle w:val="TextBody"/>
        <w:bidi w:val="0"/>
        <w:spacing w:before="240" w:after="283"/>
        <w:jc w:val="left"/>
        <w:rPr/>
      </w:pPr>
      <w:r>
        <w:rPr>
          <w:color w:val="000000"/>
        </w:rPr>
        <w:t>“</w:t>
      </w:r>
      <w:r>
        <w:rPr>
          <w:rFonts w:ascii="Times New Roman" w:hAnsi="Times New Roman"/>
          <w:color w:val="000000"/>
          <w:sz w:val="24"/>
          <w:u w:val="single"/>
        </w:rPr>
        <w:t>Relevant Rate</w:t>
      </w:r>
      <w:r>
        <w:rPr>
          <w:rFonts w:ascii="Times New Roman" w:hAnsi="Times New Roman"/>
          <w:color w:val="000000"/>
          <w:sz w:val="24"/>
        </w:rPr>
        <w:t>” means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with respect to any Investment denominated in Dollars, Daily 1M SOFR (or, in the event that Daily 1M SOFR is not available at such time for any reason as determined by the Administrative Agent in its sole discretion, Daily Simple SOFR) at the relevant time specified in the definition of Daily 1M SOFR, or in the case of Daily Simple SOFR, on each SOFR Day,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with respect to any Investment denominated in Sterling, SONIA;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with respect to any Investment denominated in Euros, EURIBOR;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 with respect to any Investment made by a Conduit Purchaser, the CP Rate;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(e) with respect to any Investment denominated in an Alternative Currency (other than Sterling or Dollars) and such Investment will bear interest at a term rate, the term rate per annum as designated with respect to such Alternative Currency at the time such Alternative Currency is approved by the Administrative Agent and the relevant Purchasers pursuant to </w:t>
      </w:r>
      <w:r>
        <w:rPr>
          <w:rFonts w:ascii="Times New Roman" w:hAnsi="Times New Roman"/>
          <w:color w:val="000000"/>
          <w:sz w:val="24"/>
          <w:u w:val="single"/>
        </w:rPr>
        <w:t>Section 1.05(a)</w:t>
      </w:r>
      <w:r>
        <w:rPr>
          <w:rFonts w:ascii="Times New Roman" w:hAnsi="Times New Roman"/>
          <w:color w:val="000000"/>
          <w:sz w:val="24"/>
        </w:rPr>
        <w:t xml:space="preserve"> of the Receivables Purchase Agreement plus the adjustment (if any) determined by the Administrative Agent and the relevant Purchasers pursuant to </w:t>
      </w:r>
      <w:r>
        <w:rPr>
          <w:rFonts w:ascii="Times New Roman" w:hAnsi="Times New Roman"/>
          <w:color w:val="000000"/>
          <w:sz w:val="24"/>
          <w:u w:val="single"/>
        </w:rPr>
        <w:t>Section</w:t>
      </w:r>
      <w:r>
        <w:rPr>
          <w:rFonts w:ascii="Times New Roman" w:hAnsi="Times New Roman"/>
          <w:color w:val="000000"/>
          <w:sz w:val="24"/>
        </w:rPr>
        <w:t xml:space="preserve"> </w:t>
      </w:r>
      <w:r>
        <w:rPr>
          <w:rFonts w:ascii="Times New Roman" w:hAnsi="Times New Roman"/>
          <w:color w:val="000000"/>
          <w:sz w:val="24"/>
          <w:u w:val="single"/>
        </w:rPr>
        <w:t>1.05(a)</w:t>
      </w:r>
      <w:r>
        <w:rPr>
          <w:rFonts w:ascii="Times New Roman" w:hAnsi="Times New Roman"/>
          <w:color w:val="000000"/>
          <w:sz w:val="24"/>
        </w:rPr>
        <w:t xml:space="preserve"> of the Receivables Purchase Agreement; and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(f) with respect to any Investment denominated in an Alternative Currency (other than Sterling or Dollars) and such Investment will bear interest at a daily rate, the daily rate per annum as designated with respect to such Alternative Currency at the time such Alternative Currency is approved by the Administrative Agent and the relevant Purchasers pursuant to </w:t>
      </w:r>
      <w:r>
        <w:rPr>
          <w:rFonts w:ascii="Times New Roman" w:hAnsi="Times New Roman"/>
          <w:color w:val="000000"/>
          <w:sz w:val="24"/>
          <w:u w:val="single"/>
        </w:rPr>
        <w:t>Section 1.05(a)</w:t>
      </w:r>
      <w:r>
        <w:rPr>
          <w:rFonts w:ascii="Times New Roman" w:hAnsi="Times New Roman"/>
          <w:color w:val="000000"/>
          <w:sz w:val="24"/>
        </w:rPr>
        <w:t xml:space="preserve"> of the Receivables Purchase Agreement (provided, that, if such rate shall be less than zero, such rate shall be deemed zero) plus the adjustment (if any) determined by the Administrative Agent and the relevant Purchasers pursuant to </w:t>
      </w:r>
      <w:r>
        <w:rPr>
          <w:rFonts w:ascii="Times New Roman" w:hAnsi="Times New Roman"/>
          <w:color w:val="000000"/>
          <w:sz w:val="24"/>
          <w:u w:val="single"/>
        </w:rPr>
        <w:t>Section 1.05(a)</w:t>
      </w:r>
      <w:r>
        <w:rPr>
          <w:rFonts w:ascii="Times New Roman" w:hAnsi="Times New Roman"/>
          <w:color w:val="000000"/>
          <w:sz w:val="24"/>
        </w:rPr>
        <w:t xml:space="preserve"> of the Receivables Purchase Agreement;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as </w:t>
      </w:r>
      <w:r>
        <w:rPr>
          <w:rFonts w:ascii="Times New Roman" w:hAnsi="Times New Roman"/>
          <w:color w:val="000000"/>
          <w:sz w:val="24"/>
          <w:u w:val="single"/>
        </w:rPr>
        <w:t>applicable</w:t>
      </w:r>
      <w:r>
        <w:rPr>
          <w:rFonts w:ascii="Times New Roman" w:hAnsi="Times New Roman"/>
          <w:color w:val="000000"/>
          <w:sz w:val="24"/>
        </w:rPr>
        <w:t>, provided, that, if any Relevant Rate shall be less than zero, such rate shall be deemed zero for purposes of this Agreement.</w:t>
      </w:r>
    </w:p>
    <w:p>
      <w:pPr>
        <w:pStyle w:val="TextBody"/>
        <w:bidi w:val="0"/>
        <w:spacing w:before="240" w:after="283"/>
        <w:jc w:val="both"/>
        <w:rPr/>
      </w:pPr>
      <w:r>
        <w:rPr>
          <w:color w:val="000000"/>
        </w:rPr>
        <w:t>“</w:t>
      </w:r>
      <w:r>
        <w:rPr>
          <w:rFonts w:ascii="Times New Roman" w:hAnsi="Times New Roman"/>
          <w:color w:val="000000"/>
          <w:sz w:val="24"/>
          <w:u w:val="single"/>
        </w:rPr>
        <w:t>Relevant Territory</w:t>
      </w:r>
      <w:r>
        <w:rPr>
          <w:rFonts w:ascii="Times New Roman" w:hAnsi="Times New Roman"/>
          <w:color w:val="000000"/>
          <w:sz w:val="24"/>
        </w:rPr>
        <w:t>” means: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a member state of the European Communities (other than Ireland);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to the extent not a member state of the European Communities, a jurisdiction with which Ireland has entered into a double taxation treaty that either has the force of law by virtue of section 826(1) of the TCA or which will have the force of law on completion of the procedures set out in section 826(1) of the TCA.</w:t>
      </w:r>
    </w:p>
    <w:p>
      <w:pPr>
        <w:pStyle w:val="TextBody"/>
        <w:bidi w:val="0"/>
        <w:spacing w:before="240" w:after="283"/>
        <w:jc w:val="both"/>
        <w:rPr/>
      </w:pPr>
      <w:r>
        <w:rPr>
          <w:color w:val="000000"/>
        </w:rPr>
        <w:t>“</w:t>
      </w:r>
      <w:r>
        <w:rPr>
          <w:rFonts w:ascii="Times New Roman" w:hAnsi="Times New Roman"/>
          <w:color w:val="000000"/>
          <w:sz w:val="24"/>
          <w:u w:val="single"/>
        </w:rPr>
        <w:t>Reportable Compliance Event</w:t>
      </w:r>
      <w:r>
        <w:rPr>
          <w:rFonts w:ascii="Times New Roman" w:hAnsi="Times New Roman"/>
          <w:color w:val="000000"/>
          <w:sz w:val="24"/>
        </w:rPr>
        <w:t>” means that: (a) any Covered Entity becomes a Sanctioned Person, or is charged by indictment, criminal complaint or similar charging instrument, arraigned, or custodially detained, penalized or the subject of an assessment for a penalty, or enters into a settlement with a Governmental Authority in connection with any sanctions or other Anti-Terrorism Law or Anti-Corruption law, or any predicate crime to any Anti-Terrorism Law or Anti-Corruption Law; (b) any Covered Entity engages in a transaction that has caused any Purchaser Party to be in violation of any Anti-Terrorism Laws, or, to the Covered Entity’s knowledge, involves a Covered Entity’s use of any proceeds of the Investments to fund any operations in, finance any investments or activities in, or, make any payments to, directly or knowingly, indirectly, a Sanctioned Person or Sanctioned Jurisdiction; or (c) to the Seller’s or any Servicer’s knowledge, any Seller Collateral becomes Embargoed Property.</w:t>
      </w:r>
    </w:p>
    <w:p>
      <w:pPr>
        <w:pStyle w:val="TextBody"/>
        <w:bidi w:val="0"/>
        <w:spacing w:before="240" w:after="283"/>
        <w:jc w:val="both"/>
        <w:rPr/>
      </w:pPr>
      <w:r>
        <w:rPr>
          <w:color w:val="000000"/>
        </w:rPr>
        <w:t>“</w:t>
      </w:r>
      <w:r>
        <w:rPr>
          <w:rFonts w:ascii="Times New Roman" w:hAnsi="Times New Roman"/>
          <w:color w:val="000000"/>
          <w:sz w:val="24"/>
          <w:u w:val="single"/>
        </w:rPr>
        <w:t>Reportable Event</w:t>
      </w:r>
      <w:r>
        <w:rPr>
          <w:rFonts w:ascii="Times New Roman" w:hAnsi="Times New Roman"/>
          <w:color w:val="000000"/>
          <w:sz w:val="24"/>
        </w:rPr>
        <w:t>” means any reportable event as defined in Section 4043(c) of ERISA or the regulations issued thereunder with respect to a Pension Plan (other than a Pension Plan maintained by an ERISA Affiliate which is considered an ERISA Affiliate only pursuant to subsection (m) or (o) of Section 414 of the Code).</w:t>
      </w:r>
    </w:p>
    <w:p>
      <w:pPr>
        <w:pStyle w:val="TextBody"/>
        <w:bidi w:val="0"/>
        <w:spacing w:before="240" w:after="283"/>
        <w:jc w:val="both"/>
        <w:rPr/>
      </w:pPr>
      <w:r>
        <w:rPr>
          <w:color w:val="000000"/>
        </w:rPr>
        <w:t>“</w:t>
      </w:r>
      <w:r>
        <w:rPr>
          <w:rFonts w:ascii="Times New Roman" w:hAnsi="Times New Roman"/>
          <w:color w:val="000000"/>
          <w:sz w:val="24"/>
          <w:u w:val="single"/>
        </w:rPr>
        <w:t>Representatives</w:t>
      </w:r>
      <w:r>
        <w:rPr>
          <w:rFonts w:ascii="Times New Roman" w:hAnsi="Times New Roman"/>
          <w:color w:val="000000"/>
          <w:sz w:val="24"/>
        </w:rPr>
        <w:t xml:space="preserve">” has the meaning set forth in </w:t>
      </w:r>
      <w:r>
        <w:rPr>
          <w:rFonts w:ascii="Times New Roman" w:hAnsi="Times New Roman"/>
          <w:color w:val="000000"/>
          <w:sz w:val="24"/>
          <w:u w:val="single"/>
        </w:rPr>
        <w:t>Section 11.06(c)</w:t>
      </w:r>
      <w:r>
        <w:rPr>
          <w:rFonts w:ascii="Times New Roman" w:hAnsi="Times New Roman"/>
          <w:color w:val="000000"/>
          <w:sz w:val="24"/>
        </w:rPr>
        <w:t xml:space="preserve"> of the Receivables Purchase Agreement.</w:t>
      </w:r>
    </w:p>
    <w:p>
      <w:pPr>
        <w:pStyle w:val="TextBody"/>
        <w:bidi w:val="0"/>
        <w:spacing w:before="240" w:after="283"/>
        <w:jc w:val="both"/>
        <w:rPr/>
      </w:pPr>
      <w:r>
        <w:rPr>
          <w:color w:val="000000"/>
        </w:rPr>
        <w:t>“</w:t>
      </w:r>
      <w:r>
        <w:rPr>
          <w:rFonts w:ascii="Times New Roman" w:hAnsi="Times New Roman"/>
          <w:color w:val="000000"/>
          <w:sz w:val="24"/>
          <w:u w:val="single"/>
        </w:rPr>
        <w:t>Responsible Officer</w:t>
      </w:r>
      <w:r>
        <w:rPr>
          <w:rFonts w:ascii="Times New Roman" w:hAnsi="Times New Roman"/>
          <w:color w:val="000000"/>
          <w:sz w:val="24"/>
        </w:rPr>
        <w:t>” means: (a) in the case of a corporation, its president, senior vice president, any vice president or treasurer, assistant treasurer, any manager of debt, and, in any case where two Responsible Officers are acting on behalf of such corporation, the second such Responsible Officer may be a secretary or assistant secretary; (b) in the case of a limited partnership, the Responsible Officer of the general partner, acting on behalf of such general partner in its capacity as general partner; (c) in the case of a limited liability company, the president, chief operating officer, chief financial officer, treasurer, assistant treasurer, executive vice president, senior vice president, or vice president of such limited liability company or of the manager, managing member or sole member of such limited liability company, acting on behalf of such manager, managing member or sole member in its capacity as manager, managing member or sole member, and (d) in the case of a general partnership, the chairman, chief executive officer, president, chief operating officer, chief financial officer, treasurer, assistant treasurer, executive vice president, senior vice president, or vice president, or, if individuals, any of the partners of such general partnership.</w:t>
      </w:r>
    </w:p>
    <w:p>
      <w:pPr>
        <w:pStyle w:val="TextBody"/>
        <w:bidi w:val="0"/>
        <w:spacing w:before="240" w:after="283"/>
        <w:jc w:val="both"/>
        <w:rPr/>
      </w:pPr>
      <w:r>
        <w:rPr>
          <w:color w:val="000000"/>
        </w:rPr>
        <w:t>“</w:t>
      </w:r>
      <w:r>
        <w:rPr>
          <w:rFonts w:ascii="Times New Roman" w:hAnsi="Times New Roman"/>
          <w:color w:val="000000"/>
          <w:sz w:val="24"/>
          <w:u w:val="single"/>
        </w:rPr>
        <w:t>Restricted Payments</w:t>
      </w:r>
      <w:r>
        <w:rPr>
          <w:rFonts w:ascii="Times New Roman" w:hAnsi="Times New Roman"/>
          <w:color w:val="000000"/>
          <w:sz w:val="24"/>
        </w:rPr>
        <w:t xml:space="preserve">” has the meaning set forth in para (q) of </w:t>
      </w:r>
      <w:r>
        <w:rPr>
          <w:rFonts w:ascii="Times New Roman" w:hAnsi="Times New Roman"/>
          <w:color w:val="000000"/>
          <w:sz w:val="24"/>
          <w:u w:val="single"/>
        </w:rPr>
        <w:t>Schedule 4 (</w:t>
      </w:r>
      <w:r>
        <w:rPr>
          <w:rFonts w:ascii="Times New Roman" w:hAnsi="Times New Roman"/>
          <w:i/>
          <w:color w:val="000000"/>
          <w:sz w:val="24"/>
          <w:u w:val="single"/>
        </w:rPr>
        <w:t>Covenants</w:t>
      </w:r>
      <w:r>
        <w:rPr>
          <w:rFonts w:ascii="Times New Roman" w:hAnsi="Times New Roman"/>
          <w:color w:val="000000"/>
          <w:sz w:val="24"/>
          <w:u w:val="single"/>
        </w:rPr>
        <w:t>)</w:t>
      </w:r>
      <w:r>
        <w:rPr>
          <w:rFonts w:ascii="Times New Roman" w:hAnsi="Times New Roman"/>
          <w:color w:val="000000"/>
          <w:sz w:val="24"/>
        </w:rPr>
        <w:t xml:space="preserve"> </w:t>
      </w:r>
      <w:r>
        <w:rPr>
          <w:rFonts w:ascii="Times New Roman" w:hAnsi="Times New Roman"/>
          <w:color w:val="000000"/>
          <w:sz w:val="24"/>
          <w:u w:val="single"/>
        </w:rPr>
        <w:t>Part 1 (</w:t>
      </w:r>
      <w:r>
        <w:rPr>
          <w:rFonts w:ascii="Times New Roman" w:hAnsi="Times New Roman"/>
          <w:i/>
          <w:color w:val="000000"/>
          <w:sz w:val="24"/>
          <w:u w:val="single"/>
        </w:rPr>
        <w:t>Covenants of the Seller</w:t>
      </w:r>
      <w:r>
        <w:rPr>
          <w:rFonts w:ascii="Times New Roman" w:hAnsi="Times New Roman"/>
          <w:color w:val="000000"/>
          <w:sz w:val="24"/>
          <w:u w:val="single"/>
        </w:rPr>
        <w:t>) of this Agreement</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Resolution Authority</w:t>
      </w:r>
      <w:r>
        <w:rPr>
          <w:rFonts w:ascii="Times New Roman" w:hAnsi="Times New Roman"/>
          <w:color w:val="000000"/>
          <w:sz w:val="24"/>
        </w:rPr>
        <w:t>” means an EEA Resolution Authority or, with respect to any UK Financial Institution, a UK Resolution Authority.</w:t>
      </w:r>
    </w:p>
    <w:p>
      <w:pPr>
        <w:pStyle w:val="TextBody"/>
        <w:bidi w:val="0"/>
        <w:spacing w:before="240" w:after="283"/>
        <w:jc w:val="both"/>
        <w:rPr/>
      </w:pPr>
      <w:r>
        <w:rPr>
          <w:color w:val="000000"/>
        </w:rPr>
        <w:t>“</w:t>
      </w:r>
      <w:r>
        <w:rPr>
          <w:rFonts w:ascii="Times New Roman" w:hAnsi="Times New Roman"/>
          <w:color w:val="000000"/>
          <w:sz w:val="24"/>
          <w:u w:val="single"/>
        </w:rPr>
        <w:t>Retained Regulation</w:t>
      </w:r>
      <w:r>
        <w:rPr>
          <w:rFonts w:ascii="Times New Roman" w:hAnsi="Times New Roman"/>
          <w:color w:val="000000"/>
          <w:sz w:val="24"/>
        </w:rPr>
        <w:t>” means the Regulation as it applies under English law, taking into account: (i) its having become part of English domestic law on and after 11:00 p.m. (UK time) on 31 December 2020 (“</w:t>
      </w:r>
      <w:r>
        <w:rPr>
          <w:rFonts w:ascii="Times New Roman" w:hAnsi="Times New Roman"/>
          <w:color w:val="000000"/>
          <w:sz w:val="24"/>
          <w:u w:val="single"/>
        </w:rPr>
        <w:t>IP completion day</w:t>
      </w:r>
      <w:r>
        <w:rPr>
          <w:rFonts w:ascii="Times New Roman" w:hAnsi="Times New Roman"/>
          <w:color w:val="000000"/>
          <w:sz w:val="24"/>
        </w:rPr>
        <w:t>”) pursuant to the European Union (Withdrawal) Act 2018 (“</w:t>
      </w:r>
      <w:r>
        <w:rPr>
          <w:rFonts w:ascii="Times New Roman" w:hAnsi="Times New Roman"/>
          <w:color w:val="000000"/>
          <w:sz w:val="24"/>
          <w:u w:val="single"/>
        </w:rPr>
        <w:t>EUWA</w:t>
      </w:r>
      <w:r>
        <w:rPr>
          <w:rFonts w:ascii="Times New Roman" w:hAnsi="Times New Roman"/>
          <w:color w:val="000000"/>
          <w:sz w:val="24"/>
        </w:rPr>
        <w:t>”); and (ii) any modifications to it that have taken effect on or after IP completion day pursuant to the EUWA or otherwise under English law (but not, for the avoidance of doubt, any modifications to it that have taken effect on or after IP completion day under European Union law).</w:t>
      </w:r>
    </w:p>
    <w:p>
      <w:pPr>
        <w:pStyle w:val="TextBody"/>
        <w:bidi w:val="0"/>
        <w:spacing w:before="240" w:after="283"/>
        <w:jc w:val="both"/>
        <w:rPr/>
      </w:pPr>
      <w:r>
        <w:rPr>
          <w:color w:val="000000"/>
        </w:rPr>
        <w:t>“</w:t>
      </w:r>
      <w:r>
        <w:rPr>
          <w:rFonts w:ascii="Times New Roman" w:hAnsi="Times New Roman"/>
          <w:color w:val="000000"/>
          <w:sz w:val="24"/>
          <w:u w:val="single"/>
        </w:rPr>
        <w:t>Returned Goods</w:t>
      </w:r>
      <w:r>
        <w:rPr>
          <w:rFonts w:ascii="Times New Roman" w:hAnsi="Times New Roman"/>
          <w:color w:val="000000"/>
          <w:sz w:val="24"/>
        </w:rPr>
        <w:t xml:space="preserve">” means all right, title and interest in and to returned, repossessed or foreclosed goods and/or merchandise the sale of which gave rise to a Receivable; </w:t>
      </w:r>
      <w:r>
        <w:rPr>
          <w:rFonts w:ascii="Times New Roman" w:hAnsi="Times New Roman"/>
          <w:color w:val="000000"/>
          <w:sz w:val="24"/>
          <w:u w:val="single"/>
        </w:rPr>
        <w:t>provided</w:t>
      </w:r>
      <w:r>
        <w:rPr>
          <w:rFonts w:ascii="Times New Roman" w:hAnsi="Times New Roman"/>
          <w:color w:val="000000"/>
          <w:sz w:val="24"/>
        </w:rPr>
        <w:t xml:space="preserve"> that such goods shall no longer constitute Returned Goods after a Deemed Collection has been deposited in a Collection Account with respect to the full Outstanding Balance of the related Receivables.</w:t>
      </w:r>
    </w:p>
    <w:p>
      <w:pPr>
        <w:pStyle w:val="TextBody"/>
        <w:bidi w:val="0"/>
        <w:spacing w:before="240" w:after="283"/>
        <w:jc w:val="both"/>
        <w:rPr/>
      </w:pPr>
      <w:r>
        <w:rPr>
          <w:color w:val="000000"/>
        </w:rPr>
        <w:t>“</w:t>
      </w:r>
      <w:r>
        <w:rPr>
          <w:rFonts w:ascii="Times New Roman" w:hAnsi="Times New Roman"/>
          <w:color w:val="000000"/>
          <w:sz w:val="24"/>
          <w:u w:val="single"/>
        </w:rPr>
        <w:t>Revaluation Date</w:t>
      </w:r>
      <w:r>
        <w:rPr>
          <w:rFonts w:ascii="Times New Roman" w:hAnsi="Times New Roman"/>
          <w:color w:val="000000"/>
          <w:sz w:val="24"/>
        </w:rPr>
        <w:t>” means with respect to any Investment, each of the following: (i) each date of an Investment, (ii) each Settlement Date, and (iii) such additional dates as the Administrative Agent shall determine or the Majority Group Agents shall require.</w:t>
      </w:r>
    </w:p>
    <w:p>
      <w:pPr>
        <w:pStyle w:val="TextBody"/>
        <w:bidi w:val="0"/>
        <w:spacing w:before="240" w:after="283"/>
        <w:jc w:val="left"/>
        <w:rPr/>
      </w:pPr>
      <w:r>
        <w:rPr>
          <w:color w:val="000000"/>
        </w:rPr>
        <w:t>“</w:t>
      </w:r>
      <w:r>
        <w:rPr>
          <w:rFonts w:ascii="Times New Roman" w:hAnsi="Times New Roman"/>
          <w:color w:val="000000"/>
          <w:sz w:val="24"/>
          <w:u w:val="single"/>
        </w:rPr>
        <w:t>PRA</w:t>
      </w:r>
      <w:r>
        <w:rPr>
          <w:rFonts w:ascii="Times New Roman" w:hAnsi="Times New Roman"/>
          <w:color w:val="000000"/>
          <w:sz w:val="24"/>
        </w:rPr>
        <w:t>” means the Prudential Regulation Authority.</w:t>
      </w:r>
    </w:p>
    <w:p>
      <w:pPr>
        <w:pStyle w:val="TextBody"/>
        <w:bidi w:val="0"/>
        <w:spacing w:before="240" w:after="283"/>
        <w:jc w:val="left"/>
        <w:rPr/>
      </w:pPr>
      <w:r>
        <w:rPr>
          <w:color w:val="000000"/>
        </w:rPr>
        <w:t>“</w:t>
      </w:r>
      <w:r>
        <w:rPr>
          <w:rFonts w:ascii="Times New Roman" w:hAnsi="Times New Roman"/>
          <w:color w:val="000000"/>
          <w:sz w:val="24"/>
          <w:u w:val="single"/>
        </w:rPr>
        <w:t>PRA Rulebook</w:t>
      </w:r>
      <w:r>
        <w:rPr>
          <w:rFonts w:ascii="Times New Roman" w:hAnsi="Times New Roman"/>
          <w:color w:val="000000"/>
          <w:sz w:val="24"/>
        </w:rPr>
        <w:t>” means the rulebook of published policy of the PRA.</w:t>
      </w:r>
    </w:p>
    <w:p>
      <w:pPr>
        <w:pStyle w:val="TextBody"/>
        <w:bidi w:val="0"/>
        <w:spacing w:before="240" w:after="283"/>
        <w:jc w:val="both"/>
        <w:rPr/>
      </w:pPr>
      <w:r>
        <w:rPr>
          <w:color w:val="000000"/>
        </w:rPr>
        <w:t>“</w:t>
      </w:r>
      <w:r>
        <w:rPr>
          <w:rFonts w:ascii="Times New Roman" w:hAnsi="Times New Roman"/>
          <w:color w:val="000000"/>
          <w:sz w:val="24"/>
          <w:u w:val="single"/>
        </w:rPr>
        <w:t>PRA Securitisation Rules</w:t>
      </w:r>
      <w:r>
        <w:rPr>
          <w:rFonts w:ascii="Times New Roman" w:hAnsi="Times New Roman"/>
          <w:color w:val="000000"/>
          <w:sz w:val="24"/>
        </w:rPr>
        <w:t>” or “</w:t>
      </w:r>
      <w:r>
        <w:rPr>
          <w:rFonts w:ascii="Times New Roman" w:hAnsi="Times New Roman"/>
          <w:color w:val="000000"/>
          <w:sz w:val="24"/>
          <w:u w:val="single"/>
        </w:rPr>
        <w:t>PRASR</w:t>
      </w:r>
      <w:r>
        <w:rPr>
          <w:rFonts w:ascii="Times New Roman" w:hAnsi="Times New Roman"/>
          <w:color w:val="000000"/>
          <w:sz w:val="24"/>
        </w:rPr>
        <w:t>” means the Securitisation Part of the PRA Rulebook.</w:t>
      </w:r>
    </w:p>
    <w:p>
      <w:pPr>
        <w:pStyle w:val="TextBody"/>
        <w:bidi w:val="0"/>
        <w:spacing w:before="240" w:after="283"/>
        <w:jc w:val="both"/>
        <w:rPr/>
      </w:pPr>
      <w:r>
        <w:rPr>
          <w:color w:val="000000"/>
        </w:rPr>
        <w:t>“</w:t>
      </w:r>
      <w:r>
        <w:rPr>
          <w:rFonts w:ascii="Times New Roman" w:hAnsi="Times New Roman"/>
          <w:color w:val="000000"/>
          <w:sz w:val="24"/>
          <w:u w:val="single"/>
        </w:rPr>
        <w:t>S&amp;P</w:t>
      </w:r>
      <w:r>
        <w:rPr>
          <w:rFonts w:ascii="Times New Roman" w:hAnsi="Times New Roman"/>
          <w:color w:val="000000"/>
          <w:sz w:val="24"/>
        </w:rPr>
        <w:t>” means S&amp;P Global Ratings, a division of S&amp;P Global Inc., and any successor thereto that is a nationally recognized statistical rating organization.</w:t>
      </w:r>
    </w:p>
    <w:p>
      <w:pPr>
        <w:pStyle w:val="TextBody"/>
        <w:bidi w:val="0"/>
        <w:spacing w:before="240" w:after="283"/>
        <w:jc w:val="both"/>
        <w:rPr/>
      </w:pPr>
      <w:r>
        <w:rPr>
          <w:color w:val="000000"/>
        </w:rPr>
        <w:t>“</w:t>
      </w:r>
      <w:r>
        <w:rPr>
          <w:rFonts w:ascii="Times New Roman" w:hAnsi="Times New Roman"/>
          <w:color w:val="000000"/>
          <w:sz w:val="24"/>
          <w:u w:val="single"/>
        </w:rPr>
        <w:t>Sales Based Default Ratio</w:t>
      </w:r>
      <w:r>
        <w:rPr>
          <w:rFonts w:ascii="Times New Roman" w:hAnsi="Times New Roman"/>
          <w:color w:val="000000"/>
          <w:sz w:val="24"/>
        </w:rPr>
        <w:t>” means the ratio (expressed as a percentage and rounded to the 1/100 of 1%, with 5/1000th of 1% rounded upward) computed as of the last day of each Fiscal Month by dividing: (a) the sum of (without duplication) (i) the aggregate Outstanding Balance of all Pool Receivables that became Deemed Defaulted Receivables during such Fiscal Month, and (ii) the aggregate amount of all Pool Receivables that became Charged-Off Receivables during such Fiscal Month, by (b) the aggregate Outstanding Balance of all Pool Receivables generated by the Originators during the seventh Fiscal Month prior to such Fiscal Month of determination, provided, however, that in the case of (i) and (ii) above such amount shall be calculated without giving effect to any netting of credits that have not been matched to a particular Receivable for the purposes of aged trial balance reporting. Notwithstanding the definition of “Deemed Defaulted Receivable” or any other provision of the Transaction Documents, for the purposes of calculating the Sales Based Default Ratio (and any other ratio or calculation that relies on the aggregate amount of Pool Receivables that have been deemed to be Deemed Defaulted Receivables) in respect of the 2026 Deemed Defaulted Receivables only, the aggregate Outstanding Balance of all Pool Receivables that became Deemed Defaulted Receivables during each such Fiscal Month shall be deemed to be €234,284.00 (as such figure represents the last twelve months average Deemed Defaulted Receivables as at May 2026) in lieu of the actual reported amount for each such Fiscal Month.</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Sanction(s)</w:t>
      </w:r>
      <w:r>
        <w:rPr>
          <w:rFonts w:ascii="Times New Roman" w:hAnsi="Times New Roman"/>
          <w:color w:val="000000"/>
          <w:sz w:val="24"/>
        </w:rPr>
        <w:t>” means any sanction administered or enforced by the United States Government (including without limitation, OFAC), the United Nations Security Council, the European Union, His Majesty’s Treasury (“HMT”) or other relevant sanctions authority.</w:t>
      </w:r>
    </w:p>
    <w:p>
      <w:pPr>
        <w:pStyle w:val="TextBody"/>
        <w:bidi w:val="0"/>
        <w:spacing w:before="240" w:after="283"/>
        <w:jc w:val="both"/>
        <w:rPr/>
      </w:pPr>
      <w:r>
        <w:rPr>
          <w:color w:val="000000"/>
        </w:rPr>
        <w:t>“</w:t>
      </w:r>
      <w:r>
        <w:rPr>
          <w:rFonts w:ascii="Times New Roman" w:hAnsi="Times New Roman"/>
          <w:color w:val="000000"/>
          <w:sz w:val="24"/>
          <w:u w:val="single"/>
        </w:rPr>
        <w:t>Sanctioned Jurisdiction</w:t>
      </w:r>
      <w:r>
        <w:rPr>
          <w:rFonts w:ascii="Times New Roman" w:hAnsi="Times New Roman"/>
          <w:color w:val="000000"/>
          <w:sz w:val="24"/>
        </w:rPr>
        <w:t>” means any country, territory, or region that is the subject of comprehensive sanctions administered by OFAC (as of the date hereof, consisting of Cuba, Iran, North Korea, Syria, Russia and the following regions of Ukraine: Crimea, Donetsk and Luhansk).</w:t>
      </w:r>
    </w:p>
    <w:p>
      <w:pPr>
        <w:pStyle w:val="TextBody"/>
        <w:bidi w:val="0"/>
        <w:spacing w:before="240" w:after="283"/>
        <w:jc w:val="both"/>
        <w:rPr/>
      </w:pPr>
      <w:r>
        <w:rPr>
          <w:color w:val="000000"/>
        </w:rPr>
        <w:t>“</w:t>
      </w:r>
      <w:r>
        <w:rPr>
          <w:rFonts w:ascii="Times New Roman" w:hAnsi="Times New Roman"/>
          <w:color w:val="000000"/>
          <w:sz w:val="24"/>
          <w:u w:val="single"/>
        </w:rPr>
        <w:t>Sanctioned Person</w:t>
      </w:r>
      <w:r>
        <w:rPr>
          <w:rFonts w:ascii="Times New Roman" w:hAnsi="Times New Roman"/>
          <w:color w:val="000000"/>
          <w:sz w:val="24"/>
        </w:rPr>
        <w:t>” means (a) a Person that is the subject of sanctions administered by OFAC or the U.S. Department of State (“</w:t>
      </w:r>
      <w:r>
        <w:rPr>
          <w:rFonts w:ascii="Times New Roman" w:hAnsi="Times New Roman"/>
          <w:color w:val="000000"/>
          <w:sz w:val="24"/>
          <w:u w:val="single"/>
        </w:rPr>
        <w:t>State</w:t>
      </w:r>
      <w:r>
        <w:rPr>
          <w:rFonts w:ascii="Times New Roman" w:hAnsi="Times New Roman"/>
          <w:color w:val="000000"/>
          <w:sz w:val="24"/>
        </w:rPr>
        <w:t>”), including by virtue of being (i) named on OFAC’s list of “Specially Designated Nationals and Blocked Persons”; (ii) organized under the laws of, ordinarily resident in, or physically located in a Sanctioned Jurisdiction; or (iii) owned or controlled 50% or more in the aggregate, by one or more Persons that are the subject of sanctions administered by OFAC; (b) a Person that is the subject of sanctions maintained by the European Union (“</w:t>
      </w:r>
      <w:r>
        <w:rPr>
          <w:rFonts w:ascii="Times New Roman" w:hAnsi="Times New Roman"/>
          <w:color w:val="000000"/>
          <w:sz w:val="24"/>
          <w:u w:val="single"/>
        </w:rPr>
        <w:t>E.U.”</w:t>
      </w:r>
      <w:r>
        <w:rPr>
          <w:rFonts w:ascii="Times New Roman" w:hAnsi="Times New Roman"/>
          <w:color w:val="000000"/>
          <w:sz w:val="24"/>
        </w:rPr>
        <w:t>), including by virtue of being (i) named on the E.U.’s “Consolidated list of persons, groups and entities subject to E.U. financial sanctions” or other, similar lists; or (ii) owned or controlled 50% or more in the aggregate, by one or more Persons that are the subject of sanctions administered by the E.U.; (c) a Person that is the subject of sanctions maintained by the United Kingdom (“U.K.”), including by virtue of being (i) named on the “Consolidated List Of Financial Sanctions Targets in the U.K.” or other, similar lists or (ii) owned or controlled 50% or more in the aggregate, by one or more Persons that are the subject of sanctions administered by the U.K.; (d) a Person that is the subject of sanctions imposed by any Governmental Authority of a jurisdiction whose laws apply to this Agreement or (e) a Person acting or purporting to act on behalf of any of the persons listed in paragraphs</w:t>
      </w:r>
    </w:p>
    <w:p>
      <w:pPr>
        <w:pStyle w:val="TextBody"/>
        <w:bidi w:val="0"/>
        <w:jc w:val="both"/>
        <w:rPr>
          <w:rFonts w:ascii="Times New Roman" w:hAnsi="Times New Roman"/>
          <w:color w:val="000000"/>
          <w:sz w:val="24"/>
        </w:rPr>
      </w:pPr>
      <w:r>
        <w:rPr>
          <w:rFonts w:ascii="Times New Roman" w:hAnsi="Times New Roman"/>
          <w:color w:val="000000"/>
          <w:sz w:val="24"/>
        </w:rPr>
        <w:t>(a) to (d) above.</w:t>
      </w:r>
    </w:p>
    <w:p>
      <w:pPr>
        <w:pStyle w:val="TextBody"/>
        <w:bidi w:val="0"/>
        <w:spacing w:before="240" w:after="283"/>
        <w:jc w:val="both"/>
        <w:rPr/>
      </w:pPr>
      <w:r>
        <w:rPr>
          <w:color w:val="000000"/>
        </w:rPr>
        <w:t>“</w:t>
      </w:r>
      <w:r>
        <w:rPr>
          <w:rFonts w:ascii="Times New Roman" w:hAnsi="Times New Roman"/>
          <w:color w:val="000000"/>
          <w:sz w:val="24"/>
          <w:u w:val="single"/>
        </w:rPr>
        <w:t>Scheduled Termination Date</w:t>
      </w:r>
      <w:r>
        <w:rPr>
          <w:rFonts w:ascii="Times New Roman" w:hAnsi="Times New Roman"/>
          <w:color w:val="000000"/>
          <w:sz w:val="24"/>
        </w:rPr>
        <w:t>” means 21 September 2029, as such date may be extended from time to time.</w:t>
      </w:r>
    </w:p>
    <w:p>
      <w:pPr>
        <w:pStyle w:val="TextBody"/>
        <w:bidi w:val="0"/>
        <w:spacing w:before="240" w:after="283"/>
        <w:jc w:val="both"/>
        <w:rPr/>
      </w:pPr>
      <w:r>
        <w:rPr>
          <w:color w:val="000000"/>
        </w:rPr>
        <w:t>“</w:t>
      </w:r>
      <w:r>
        <w:rPr>
          <w:rFonts w:ascii="Times New Roman" w:hAnsi="Times New Roman"/>
          <w:color w:val="000000"/>
          <w:sz w:val="24"/>
          <w:u w:val="single"/>
        </w:rPr>
        <w:t>Scheduled Unavailability Date</w:t>
      </w:r>
      <w:r>
        <w:rPr>
          <w:rFonts w:ascii="Times New Roman" w:hAnsi="Times New Roman"/>
          <w:color w:val="000000"/>
          <w:sz w:val="24"/>
        </w:rPr>
        <w:t xml:space="preserve">” has the meaning set forth in </w:t>
      </w:r>
      <w:r>
        <w:rPr>
          <w:rFonts w:ascii="Times New Roman" w:hAnsi="Times New Roman"/>
          <w:color w:val="000000"/>
          <w:sz w:val="24"/>
          <w:u w:val="single"/>
        </w:rPr>
        <w:t>Section 4.05(c)(ii)</w:t>
      </w:r>
      <w:r>
        <w:rPr>
          <w:rFonts w:ascii="Times New Roman" w:hAnsi="Times New Roman"/>
          <w:color w:val="000000"/>
          <w:sz w:val="24"/>
        </w:rPr>
        <w:t xml:space="preserve"> of the Receivables Purchase Agreement.</w:t>
      </w:r>
    </w:p>
    <w:p>
      <w:pPr>
        <w:pStyle w:val="TextBody"/>
        <w:bidi w:val="0"/>
        <w:spacing w:before="240" w:after="283"/>
        <w:jc w:val="both"/>
        <w:rPr/>
      </w:pPr>
      <w:r>
        <w:rPr>
          <w:color w:val="000000"/>
        </w:rPr>
        <w:t>“</w:t>
      </w:r>
      <w:r>
        <w:rPr>
          <w:rFonts w:ascii="Times New Roman" w:hAnsi="Times New Roman"/>
          <w:color w:val="000000"/>
          <w:sz w:val="24"/>
          <w:u w:val="single"/>
        </w:rPr>
        <w:t>SEC</w:t>
      </w:r>
      <w:r>
        <w:rPr>
          <w:rFonts w:ascii="Times New Roman" w:hAnsi="Times New Roman"/>
          <w:color w:val="000000"/>
          <w:sz w:val="24"/>
        </w:rPr>
        <w:t>” means the U.S. Securities and Exchange Commission or any governmental agencies substituted therefor.</w:t>
      </w:r>
    </w:p>
    <w:p>
      <w:pPr>
        <w:pStyle w:val="TextBody"/>
        <w:bidi w:val="0"/>
        <w:spacing w:before="240" w:after="283"/>
        <w:jc w:val="left"/>
        <w:rPr/>
      </w:pPr>
      <w:r>
        <w:rPr>
          <w:color w:val="000000"/>
        </w:rPr>
        <w:t>“</w:t>
      </w:r>
      <w:r>
        <w:rPr>
          <w:rFonts w:ascii="Times New Roman" w:hAnsi="Times New Roman"/>
          <w:color w:val="000000"/>
          <w:sz w:val="24"/>
          <w:u w:val="single"/>
        </w:rPr>
        <w:t>SECN</w:t>
      </w:r>
      <w:r>
        <w:rPr>
          <w:rFonts w:ascii="Times New Roman" w:hAnsi="Times New Roman"/>
          <w:color w:val="000000"/>
          <w:sz w:val="24"/>
        </w:rPr>
        <w:t>” means the securitisation sourcebook of the FCA Handbook.</w:t>
      </w:r>
    </w:p>
    <w:p>
      <w:pPr>
        <w:pStyle w:val="TextBody"/>
        <w:bidi w:val="0"/>
        <w:spacing w:before="240" w:after="283"/>
        <w:jc w:val="both"/>
        <w:rPr/>
      </w:pPr>
      <w:r>
        <w:rPr>
          <w:color w:val="000000"/>
        </w:rPr>
        <w:t>“</w:t>
      </w:r>
      <w:r>
        <w:rPr>
          <w:rFonts w:ascii="Times New Roman" w:hAnsi="Times New Roman"/>
          <w:color w:val="000000"/>
          <w:sz w:val="24"/>
          <w:u w:val="single"/>
        </w:rPr>
        <w:t>Secured Parties</w:t>
      </w:r>
      <w:r>
        <w:rPr>
          <w:rFonts w:ascii="Times New Roman" w:hAnsi="Times New Roman"/>
          <w:color w:val="000000"/>
          <w:sz w:val="24"/>
        </w:rPr>
        <w:t>” means each Purchaser Party, each Seller Indemnified Party and each Affected Person.</w:t>
      </w:r>
    </w:p>
    <w:p>
      <w:pPr>
        <w:pStyle w:val="TextBody"/>
        <w:bidi w:val="0"/>
        <w:spacing w:before="240" w:after="283"/>
        <w:jc w:val="both"/>
        <w:rPr/>
      </w:pPr>
      <w:r>
        <w:rPr>
          <w:color w:val="000000"/>
        </w:rPr>
        <w:t>“</w:t>
      </w:r>
      <w:r>
        <w:rPr>
          <w:rFonts w:ascii="Times New Roman" w:hAnsi="Times New Roman"/>
          <w:color w:val="000000"/>
          <w:sz w:val="24"/>
          <w:u w:val="single"/>
        </w:rPr>
        <w:t>Securities Act</w:t>
      </w:r>
      <w:r>
        <w:rPr>
          <w:rFonts w:ascii="Times New Roman" w:hAnsi="Times New Roman"/>
          <w:color w:val="000000"/>
          <w:sz w:val="24"/>
        </w:rPr>
        <w:t>” means the Securities Act of 1933, as amended or otherwise modified from time to time.</w:t>
      </w:r>
    </w:p>
    <w:p>
      <w:pPr>
        <w:pStyle w:val="TextBody"/>
        <w:bidi w:val="0"/>
        <w:spacing w:before="240" w:after="283"/>
        <w:jc w:val="both"/>
        <w:rPr/>
      </w:pPr>
      <w:r>
        <w:rPr>
          <w:color w:val="000000"/>
        </w:rPr>
        <w:t>“</w:t>
      </w:r>
      <w:r>
        <w:rPr>
          <w:rFonts w:ascii="Times New Roman" w:hAnsi="Times New Roman"/>
          <w:color w:val="000000"/>
          <w:sz w:val="24"/>
          <w:u w:val="single"/>
        </w:rPr>
        <w:t>Security Document</w:t>
      </w:r>
      <w:r>
        <w:rPr>
          <w:rFonts w:ascii="Times New Roman" w:hAnsi="Times New Roman"/>
          <w:color w:val="000000"/>
          <w:sz w:val="24"/>
        </w:rPr>
        <w:t>” means, each Collection Account Declaration of Trust, each Collection Account Pledge Agreement, the UK Security Agreement, the Seller Share Charge, the JPM Bank Account Control Agreement and any other security document that may at any time be given as security for any of the Seller Obligations pursuant to or in connection with any Transaction Document.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color w:val="000000"/>
        </w:rPr>
        <w:t>“</w:t>
      </w:r>
      <w:r>
        <w:rPr>
          <w:rFonts w:ascii="Times New Roman" w:hAnsi="Times New Roman"/>
          <w:color w:val="000000"/>
          <w:sz w:val="24"/>
          <w:u w:val="single"/>
        </w:rPr>
        <w:t>Seller</w:t>
      </w:r>
      <w:r>
        <w:rPr>
          <w:rFonts w:ascii="Times New Roman" w:hAnsi="Times New Roman"/>
          <w:color w:val="000000"/>
          <w:sz w:val="24"/>
        </w:rPr>
        <w:t xml:space="preserve">” has the meaning specified in the </w:t>
      </w:r>
      <w:r>
        <w:rPr>
          <w:rFonts w:ascii="Times New Roman" w:hAnsi="Times New Roman"/>
          <w:color w:val="000000"/>
          <w:sz w:val="24"/>
          <w:u w:val="single"/>
        </w:rPr>
        <w:t>preamble to this Agreement</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color w:val="000000"/>
          <w:sz w:val="24"/>
          <w:u w:val="single"/>
        </w:rPr>
        <w:t>Seller Collateral</w:t>
      </w:r>
      <w:r>
        <w:rPr>
          <w:rFonts w:ascii="Times New Roman" w:hAnsi="Times New Roman"/>
          <w:color w:val="000000"/>
          <w:sz w:val="24"/>
        </w:rPr>
        <w:t>” means the security interests granted to the Administrative Agent pursuant to Clause 3.4 (</w:t>
      </w:r>
      <w:r>
        <w:rPr>
          <w:rFonts w:ascii="Times New Roman" w:hAnsi="Times New Roman"/>
          <w:i/>
          <w:color w:val="000000"/>
          <w:sz w:val="24"/>
        </w:rPr>
        <w:t>Unsold Assets</w:t>
      </w:r>
      <w:r>
        <w:rPr>
          <w:rFonts w:ascii="Times New Roman" w:hAnsi="Times New Roman"/>
          <w:color w:val="000000"/>
          <w:sz w:val="24"/>
        </w:rPr>
        <w:t>) of the UK Security Agreement.</w:t>
      </w:r>
    </w:p>
    <w:p>
      <w:pPr>
        <w:pStyle w:val="TextBody"/>
        <w:bidi w:val="0"/>
        <w:spacing w:before="240" w:after="283"/>
        <w:jc w:val="both"/>
        <w:rPr/>
      </w:pPr>
      <w:r>
        <w:rPr>
          <w:color w:val="000000"/>
        </w:rPr>
        <w:t>“</w:t>
      </w:r>
      <w:r>
        <w:rPr>
          <w:rFonts w:ascii="Times New Roman" w:hAnsi="Times New Roman"/>
          <w:color w:val="000000"/>
          <w:sz w:val="24"/>
          <w:u w:val="single"/>
        </w:rPr>
        <w:t>Seller Collection Accounts”</w:t>
      </w:r>
      <w:r>
        <w:rPr>
          <w:rFonts w:ascii="Times New Roman" w:hAnsi="Times New Roman"/>
          <w:color w:val="000000"/>
          <w:sz w:val="24"/>
        </w:rPr>
        <w:t xml:space="preserve"> means each account listed on </w:t>
      </w:r>
      <w:r>
        <w:rPr>
          <w:rFonts w:ascii="Times New Roman" w:hAnsi="Times New Roman"/>
          <w:color w:val="000000"/>
          <w:sz w:val="24"/>
          <w:u w:val="single"/>
        </w:rPr>
        <w:t>Schedule II</w:t>
      </w:r>
      <w:r>
        <w:rPr>
          <w:rFonts w:ascii="Times New Roman" w:hAnsi="Times New Roman"/>
          <w:color w:val="000000"/>
          <w:sz w:val="24"/>
        </w:rPr>
        <w:t xml:space="preserve"> to the Receivables Purchase Agreement as a Seller Collection Account (as such schedule may be modified from time to time in connection with the closing or opening of any Seller Collection Account in accordance with the terms hereof) (in each case, in the name of the Seller)</w:t>
      </w:r>
    </w:p>
    <w:p>
      <w:pPr>
        <w:pStyle w:val="TextBody"/>
        <w:bidi w:val="0"/>
        <w:spacing w:before="240" w:after="283"/>
        <w:jc w:val="both"/>
        <w:rPr/>
      </w:pPr>
      <w:r>
        <w:rPr>
          <w:color w:val="000000"/>
        </w:rPr>
        <w:t>“</w:t>
      </w:r>
      <w:r>
        <w:rPr>
          <w:rFonts w:ascii="Times New Roman" w:hAnsi="Times New Roman"/>
          <w:color w:val="000000"/>
          <w:sz w:val="24"/>
          <w:u w:val="single"/>
        </w:rPr>
        <w:t>Seller Guarantee</w:t>
      </w:r>
      <w:r>
        <w:rPr>
          <w:rFonts w:ascii="Times New Roman" w:hAnsi="Times New Roman"/>
          <w:color w:val="000000"/>
          <w:sz w:val="24"/>
        </w:rPr>
        <w:t xml:space="preserve">” has the meaning set forth in </w:t>
      </w:r>
      <w:r>
        <w:rPr>
          <w:rFonts w:ascii="Times New Roman" w:hAnsi="Times New Roman"/>
          <w:color w:val="000000"/>
          <w:sz w:val="24"/>
          <w:u w:val="single"/>
        </w:rPr>
        <w:t xml:space="preserve">Section 10.01 </w:t>
      </w:r>
      <w:r>
        <w:rPr>
          <w:rFonts w:ascii="Times New Roman" w:hAnsi="Times New Roman"/>
          <w:color w:val="000000"/>
          <w:sz w:val="24"/>
        </w:rPr>
        <w:t>of the Receivables Purchase Agreement.</w:t>
      </w:r>
    </w:p>
    <w:p>
      <w:pPr>
        <w:pStyle w:val="TextBody"/>
        <w:bidi w:val="0"/>
        <w:spacing w:before="240" w:after="283"/>
        <w:jc w:val="both"/>
        <w:rPr/>
      </w:pPr>
      <w:r>
        <w:rPr>
          <w:color w:val="000000"/>
        </w:rPr>
        <w:t>“</w:t>
      </w:r>
      <w:r>
        <w:rPr>
          <w:rFonts w:ascii="Times New Roman" w:hAnsi="Times New Roman"/>
          <w:color w:val="000000"/>
          <w:sz w:val="24"/>
          <w:u w:val="single"/>
        </w:rPr>
        <w:t>Seller Indemnified Amounts</w:t>
      </w:r>
      <w:r>
        <w:rPr>
          <w:rFonts w:ascii="Times New Roman" w:hAnsi="Times New Roman"/>
          <w:color w:val="000000"/>
          <w:sz w:val="24"/>
        </w:rPr>
        <w:t>” has the meaning set forth in para (a) of Schedule 5 (</w:t>
      </w:r>
      <w:r>
        <w:rPr>
          <w:rFonts w:ascii="Times New Roman" w:hAnsi="Times New Roman"/>
          <w:i/>
          <w:color w:val="000000"/>
          <w:sz w:val="24"/>
        </w:rPr>
        <w:t>Indemnities</w:t>
      </w:r>
      <w:r>
        <w:rPr>
          <w:rFonts w:ascii="Times New Roman" w:hAnsi="Times New Roman"/>
          <w:color w:val="000000"/>
          <w:sz w:val="24"/>
        </w:rPr>
        <w:t>) Part 1 of this Agreement.</w:t>
      </w:r>
    </w:p>
    <w:p>
      <w:pPr>
        <w:pStyle w:val="TextBody"/>
        <w:bidi w:val="0"/>
        <w:spacing w:before="240" w:after="283"/>
        <w:jc w:val="both"/>
        <w:rPr/>
      </w:pPr>
      <w:r>
        <w:rPr>
          <w:color w:val="000000"/>
        </w:rPr>
        <w:t>“</w:t>
      </w:r>
      <w:r>
        <w:rPr>
          <w:rFonts w:ascii="Times New Roman" w:hAnsi="Times New Roman"/>
          <w:color w:val="000000"/>
          <w:sz w:val="24"/>
          <w:u w:val="single"/>
        </w:rPr>
        <w:t>Seller Indemnified Party</w:t>
      </w:r>
      <w:r>
        <w:rPr>
          <w:rFonts w:ascii="Times New Roman" w:hAnsi="Times New Roman"/>
          <w:color w:val="000000"/>
          <w:sz w:val="24"/>
        </w:rPr>
        <w:t>” has the meaning set forth in para (a) of Schedule 5 (</w:t>
      </w:r>
      <w:r>
        <w:rPr>
          <w:rFonts w:ascii="Times New Roman" w:hAnsi="Times New Roman"/>
          <w:i/>
          <w:color w:val="000000"/>
          <w:sz w:val="24"/>
        </w:rPr>
        <w:t>Indemnities</w:t>
      </w:r>
      <w:r>
        <w:rPr>
          <w:rFonts w:ascii="Times New Roman" w:hAnsi="Times New Roman"/>
          <w:color w:val="000000"/>
          <w:sz w:val="24"/>
        </w:rPr>
        <w:t>) Part 1 of this Agreement.</w:t>
      </w:r>
    </w:p>
    <w:p>
      <w:pPr>
        <w:pStyle w:val="TextBody"/>
        <w:bidi w:val="0"/>
        <w:spacing w:before="240" w:after="283"/>
        <w:jc w:val="both"/>
        <w:rPr/>
      </w:pPr>
      <w:r>
        <w:rPr>
          <w:color w:val="000000"/>
        </w:rPr>
        <w:t>“</w:t>
      </w:r>
      <w:r>
        <w:rPr>
          <w:rFonts w:ascii="Times New Roman" w:hAnsi="Times New Roman"/>
          <w:color w:val="000000"/>
          <w:sz w:val="24"/>
          <w:u w:val="single"/>
        </w:rPr>
        <w:t>Seller Obligation Final Due Date</w:t>
      </w:r>
      <w:r>
        <w:rPr>
          <w:rFonts w:ascii="Times New Roman" w:hAnsi="Times New Roman"/>
          <w:color w:val="000000"/>
          <w:sz w:val="24"/>
        </w:rPr>
        <w:t xml:space="preserve">” means the date that (i) is one hundred eighty (180) days following the Scheduled Termination Date or (ii) such earlier date on which the Aggregate Capital becomes due and payable pursuant to </w:t>
      </w:r>
      <w:r>
        <w:rPr>
          <w:rFonts w:ascii="Times New Roman" w:hAnsi="Times New Roman"/>
          <w:color w:val="000000"/>
          <w:sz w:val="24"/>
          <w:u w:val="single"/>
        </w:rPr>
        <w:t>Section 7.01</w:t>
      </w:r>
      <w:r>
        <w:rPr>
          <w:rFonts w:ascii="Times New Roman" w:hAnsi="Times New Roman"/>
          <w:color w:val="000000"/>
          <w:sz w:val="24"/>
        </w:rPr>
        <w:t xml:space="preserve"> of the Receivables Purchase Agreement.</w:t>
      </w:r>
    </w:p>
    <w:p>
      <w:pPr>
        <w:pStyle w:val="TextBody"/>
        <w:bidi w:val="0"/>
        <w:spacing w:before="240" w:after="283"/>
        <w:jc w:val="both"/>
        <w:rPr/>
      </w:pPr>
      <w:r>
        <w:rPr>
          <w:color w:val="000000"/>
        </w:rPr>
        <w:t>“</w:t>
      </w:r>
      <w:r>
        <w:rPr>
          <w:rFonts w:ascii="Times New Roman" w:hAnsi="Times New Roman"/>
          <w:color w:val="000000"/>
          <w:sz w:val="24"/>
          <w:u w:val="single"/>
        </w:rPr>
        <w:t>Seller Obligations</w:t>
      </w:r>
      <w:r>
        <w:rPr>
          <w:rFonts w:ascii="Times New Roman" w:hAnsi="Times New Roman"/>
          <w:color w:val="000000"/>
          <w:sz w:val="24"/>
        </w:rPr>
        <w:t>” means all present and future indebtedness, reimbursement obligations, and other liabilities and obligations (howsoever created, arising or evidenced, whether direct or indirect, absolute or contingent, or due or to become due) of the Seller to any Purchaser Party, Seller Indemnified Party and/or any Affected Person, arising under or in connection with this Agreement or any other Transaction Document or the transactions contemplated hereby or thereby, and shall include, without limitation, all obligations of the Seller in respect of the Seller Guarantee and the payment of all Capital, Yield, Fees and other amounts due or to become due under the Transaction Documents (whether in respect of fees, costs, expenses, indemnifications or otherwise), including, without limitation, interest, fees and other obligations that accrue after the commencement of any Insolvency Proceeding with respect to the Seller (in each case whether or not allowed as a claim in such proceeding).</w:t>
      </w:r>
    </w:p>
    <w:p>
      <w:pPr>
        <w:pStyle w:val="TextBody"/>
        <w:bidi w:val="0"/>
        <w:spacing w:before="240" w:after="283"/>
        <w:jc w:val="left"/>
        <w:rPr/>
      </w:pPr>
      <w:r>
        <w:rPr>
          <w:color w:val="000000"/>
        </w:rPr>
        <w:t>“</w:t>
      </w:r>
      <w:r>
        <w:rPr>
          <w:rFonts w:ascii="Times New Roman" w:hAnsi="Times New Roman"/>
          <w:color w:val="000000"/>
          <w:sz w:val="24"/>
          <w:u w:val="single"/>
        </w:rPr>
        <w:t>Seller Parties</w:t>
      </w:r>
      <w:r>
        <w:rPr>
          <w:rFonts w:ascii="Times New Roman" w:hAnsi="Times New Roman"/>
          <w:color w:val="000000"/>
          <w:sz w:val="24"/>
        </w:rPr>
        <w:t>” means, collectively, Ashland, the Parent, the Seller and each Originator.</w:t>
      </w:r>
    </w:p>
    <w:p>
      <w:pPr>
        <w:pStyle w:val="TextBody"/>
        <w:bidi w:val="0"/>
        <w:spacing w:before="240" w:after="283"/>
        <w:jc w:val="both"/>
        <w:rPr/>
      </w:pPr>
      <w:r>
        <w:rPr>
          <w:color w:val="000000"/>
        </w:rPr>
        <w:t>“</w:t>
      </w:r>
      <w:r>
        <w:rPr>
          <w:rFonts w:ascii="Times New Roman" w:hAnsi="Times New Roman"/>
          <w:color w:val="000000"/>
          <w:sz w:val="24"/>
          <w:u w:val="single"/>
        </w:rPr>
        <w:t>Seller Share Charge</w:t>
      </w:r>
      <w:r>
        <w:rPr>
          <w:rFonts w:ascii="Times New Roman" w:hAnsi="Times New Roman"/>
          <w:color w:val="000000"/>
          <w:sz w:val="24"/>
        </w:rPr>
        <w:t>” means the Irish law share charge in respect of, among other things, the entire issued share capital of the Seller and granted by the Parent in favour of the Administrative Agent.</w:t>
      </w:r>
    </w:p>
    <w:p>
      <w:pPr>
        <w:pStyle w:val="TextBody"/>
        <w:bidi w:val="0"/>
        <w:spacing w:before="240" w:after="283"/>
        <w:jc w:val="left"/>
        <w:rPr/>
      </w:pPr>
      <w:r>
        <w:rPr>
          <w:color w:val="000000"/>
        </w:rPr>
        <w:t>“</w:t>
      </w:r>
      <w:r>
        <w:rPr>
          <w:rFonts w:ascii="Times New Roman" w:hAnsi="Times New Roman"/>
          <w:color w:val="000000"/>
          <w:sz w:val="24"/>
          <w:u w:val="single"/>
        </w:rPr>
        <w:t>Servicer</w:t>
      </w:r>
      <w:r>
        <w:rPr>
          <w:rFonts w:ascii="Times New Roman" w:hAnsi="Times New Roman"/>
          <w:color w:val="000000"/>
          <w:sz w:val="24"/>
        </w:rPr>
        <w:t xml:space="preserve">” has the meaning set forth in the </w:t>
      </w:r>
      <w:r>
        <w:rPr>
          <w:rFonts w:ascii="Times New Roman" w:hAnsi="Times New Roman"/>
          <w:color w:val="000000"/>
          <w:sz w:val="24"/>
          <w:u w:val="single"/>
        </w:rPr>
        <w:t>preamble</w:t>
      </w:r>
      <w:r>
        <w:rPr>
          <w:rFonts w:ascii="Times New Roman" w:hAnsi="Times New Roman"/>
          <w:color w:val="000000"/>
          <w:sz w:val="24"/>
        </w:rPr>
        <w:t xml:space="preserve"> to this Agreement.</w:t>
      </w:r>
    </w:p>
    <w:p>
      <w:pPr>
        <w:pStyle w:val="TextBody"/>
        <w:bidi w:val="0"/>
        <w:spacing w:before="240" w:after="283"/>
        <w:jc w:val="left"/>
        <w:rPr/>
      </w:pPr>
      <w:r>
        <w:rPr>
          <w:color w:val="000000"/>
        </w:rPr>
        <w:t>“</w:t>
      </w:r>
      <w:r>
        <w:rPr>
          <w:rFonts w:ascii="Times New Roman" w:hAnsi="Times New Roman"/>
          <w:color w:val="000000"/>
          <w:sz w:val="24"/>
          <w:u w:val="single"/>
        </w:rPr>
        <w:t>Servicer Default</w:t>
      </w:r>
      <w:r>
        <w:rPr>
          <w:rFonts w:ascii="Times New Roman" w:hAnsi="Times New Roman"/>
          <w:color w:val="000000"/>
          <w:sz w:val="24"/>
        </w:rPr>
        <w:t>” means the occurrence of any one or more of the following events: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 The Servicer (i) to the extent required hereunder on behalf of the Seller, shall fail to pay when due, any accrued Yield or to make any reduction or repayment of the Capital and such failure continues for one (1) Business Day, (ii) shall fail to transfer Collections received by the Servicer or any Originator to a Collection Account or Seller Collection Account (as applicable) at such times required under the terms of any Transaction Document and such failure continues for two (2) Business Days, (iii) shall default in the performance of any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payment (other than those covered by </w:t>
      </w:r>
      <w:r>
        <w:rPr>
          <w:rFonts w:ascii="Times New Roman" w:hAnsi="Times New Roman"/>
          <w:color w:val="000000"/>
          <w:sz w:val="24"/>
          <w:u w:val="single"/>
        </w:rPr>
        <w:t>clauses (i)</w:t>
      </w:r>
      <w:r>
        <w:rPr>
          <w:rFonts w:ascii="Times New Roman" w:hAnsi="Times New Roman"/>
          <w:color w:val="000000"/>
          <w:sz w:val="24"/>
        </w:rPr>
        <w:t xml:space="preserve"> and </w:t>
      </w:r>
      <w:r>
        <w:rPr>
          <w:rFonts w:ascii="Times New Roman" w:hAnsi="Times New Roman"/>
          <w:color w:val="000000"/>
          <w:sz w:val="24"/>
          <w:u w:val="single"/>
        </w:rPr>
        <w:t>(ii)</w:t>
      </w:r>
      <w:r>
        <w:rPr>
          <w:rFonts w:ascii="Times New Roman" w:hAnsi="Times New Roman"/>
          <w:color w:val="000000"/>
          <w:sz w:val="24"/>
        </w:rPr>
        <w:t xml:space="preserve"> above) or shall fail to observe or perform in any material respect any term, covenant or agreement under </w:t>
      </w:r>
      <w:r>
        <w:rPr>
          <w:rFonts w:ascii="Times New Roman" w:hAnsi="Times New Roman"/>
          <w:color w:val="000000"/>
          <w:sz w:val="24"/>
          <w:u w:val="single"/>
        </w:rPr>
        <w:t>para b(ii)</w:t>
      </w:r>
      <w:r>
        <w:rPr>
          <w:rFonts w:ascii="Times New Roman" w:hAnsi="Times New Roman"/>
          <w:color w:val="000000"/>
          <w:sz w:val="24"/>
        </w:rPr>
        <w:t xml:space="preserve"> (</w:t>
      </w:r>
      <w:r>
        <w:rPr>
          <w:rFonts w:ascii="Times New Roman" w:hAnsi="Times New Roman"/>
          <w:i/>
          <w:color w:val="000000"/>
          <w:sz w:val="24"/>
          <w:u w:val="single"/>
        </w:rPr>
        <w:t>Information</w:t>
      </w:r>
      <w:r>
        <w:rPr>
          <w:rFonts w:ascii="Times New Roman" w:hAnsi="Times New Roman"/>
          <w:color w:val="000000"/>
          <w:sz w:val="24"/>
        </w:rPr>
        <w:t xml:space="preserve"> </w:t>
      </w:r>
      <w:r>
        <w:rPr>
          <w:rFonts w:ascii="Times New Roman" w:hAnsi="Times New Roman"/>
          <w:i/>
          <w:color w:val="000000"/>
          <w:sz w:val="24"/>
          <w:u w:val="single"/>
        </w:rPr>
        <w:t>Packages and Weekly Reports</w:t>
      </w:r>
      <w:r>
        <w:rPr>
          <w:rFonts w:ascii="Times New Roman" w:hAnsi="Times New Roman"/>
          <w:color w:val="000000"/>
          <w:sz w:val="24"/>
        </w:rPr>
        <w:t>) of Schedule 4 (</w:t>
      </w:r>
      <w:r>
        <w:rPr>
          <w:rFonts w:ascii="Times New Roman" w:hAnsi="Times New Roman"/>
          <w:i/>
          <w:color w:val="000000"/>
          <w:sz w:val="24"/>
        </w:rPr>
        <w:t>Covenants</w:t>
      </w:r>
      <w:r>
        <w:rPr>
          <w:rFonts w:ascii="Times New Roman" w:hAnsi="Times New Roman"/>
          <w:color w:val="000000"/>
          <w:sz w:val="24"/>
        </w:rPr>
        <w:t>) Part 2 (</w:t>
      </w:r>
      <w:r>
        <w:rPr>
          <w:rFonts w:ascii="Times New Roman" w:hAnsi="Times New Roman"/>
          <w:i/>
          <w:color w:val="000000"/>
          <w:sz w:val="24"/>
        </w:rPr>
        <w:t>Covenants of the Servicer and Ashland Sub-Servicers</w:t>
      </w:r>
      <w:r>
        <w:rPr>
          <w:rFonts w:ascii="Times New Roman" w:hAnsi="Times New Roman"/>
          <w:color w:val="000000"/>
          <w:sz w:val="24"/>
        </w:rPr>
        <w:t xml:space="preserve">) and such failure continues for two (2) Business Days, (iv) shall fail to observe or perform in any material respect any term, covenant or agreement on the Servicer’s part to be performed under </w:t>
      </w:r>
      <w:r>
        <w:rPr>
          <w:rFonts w:ascii="Times New Roman" w:hAnsi="Times New Roman"/>
          <w:color w:val="000000"/>
          <w:sz w:val="24"/>
          <w:u w:val="single"/>
        </w:rPr>
        <w:t>para d</w:t>
      </w:r>
      <w:r>
        <w:rPr>
          <w:rFonts w:ascii="Times New Roman" w:hAnsi="Times New Roman"/>
          <w:color w:val="000000"/>
          <w:sz w:val="24"/>
        </w:rPr>
        <w:t xml:space="preserve"> (</w:t>
      </w:r>
      <w:r>
        <w:rPr>
          <w:rFonts w:ascii="Times New Roman" w:hAnsi="Times New Roman"/>
          <w:i/>
          <w:color w:val="000000"/>
          <w:sz w:val="24"/>
        </w:rPr>
        <w:t>conduct of business</w:t>
      </w:r>
      <w:r>
        <w:rPr>
          <w:rFonts w:ascii="Times New Roman" w:hAnsi="Times New Roman"/>
          <w:color w:val="000000"/>
          <w:sz w:val="24"/>
        </w:rPr>
        <w:t xml:space="preserve">), </w:t>
      </w:r>
      <w:r>
        <w:rPr>
          <w:rFonts w:ascii="Times New Roman" w:hAnsi="Times New Roman"/>
          <w:color w:val="000000"/>
          <w:sz w:val="24"/>
          <w:u w:val="single"/>
        </w:rPr>
        <w:t>para g</w:t>
      </w:r>
      <w:r>
        <w:rPr>
          <w:rFonts w:ascii="Times New Roman" w:hAnsi="Times New Roman"/>
          <w:color w:val="000000"/>
          <w:sz w:val="24"/>
        </w:rPr>
        <w:t xml:space="preserve"> (</w:t>
      </w:r>
      <w:r>
        <w:rPr>
          <w:rFonts w:ascii="Times New Roman" w:hAnsi="Times New Roman"/>
          <w:i/>
          <w:color w:val="000000"/>
          <w:sz w:val="24"/>
          <w:u w:val="single"/>
        </w:rPr>
        <w:t>payments on</w:t>
      </w:r>
      <w:r>
        <w:rPr>
          <w:rFonts w:ascii="Times New Roman" w:hAnsi="Times New Roman"/>
          <w:color w:val="000000"/>
          <w:sz w:val="24"/>
        </w:rPr>
        <w:t xml:space="preserve"> </w:t>
      </w:r>
      <w:r>
        <w:rPr>
          <w:rFonts w:ascii="Times New Roman" w:hAnsi="Times New Roman"/>
          <w:i/>
          <w:color w:val="000000"/>
          <w:sz w:val="24"/>
          <w:u w:val="single"/>
        </w:rPr>
        <w:t>receivables,</w:t>
      </w:r>
      <w:r>
        <w:rPr>
          <w:rFonts w:ascii="Times New Roman" w:hAnsi="Times New Roman"/>
          <w:color w:val="000000"/>
          <w:sz w:val="24"/>
          <w:u w:val="single"/>
        </w:rPr>
        <w:t xml:space="preserve"> </w:t>
      </w:r>
      <w:r>
        <w:rPr>
          <w:rFonts w:ascii="Times New Roman" w:hAnsi="Times New Roman"/>
          <w:i/>
          <w:color w:val="000000"/>
          <w:sz w:val="24"/>
          <w:u w:val="single"/>
        </w:rPr>
        <w:t>collection</w:t>
      </w:r>
      <w:r>
        <w:rPr>
          <w:rFonts w:ascii="Times New Roman" w:hAnsi="Times New Roman"/>
          <w:color w:val="000000"/>
          <w:sz w:val="24"/>
          <w:u w:val="single"/>
        </w:rPr>
        <w:t xml:space="preserve"> </w:t>
      </w:r>
      <w:r>
        <w:rPr>
          <w:rFonts w:ascii="Times New Roman" w:hAnsi="Times New Roman"/>
          <w:i/>
          <w:color w:val="000000"/>
          <w:sz w:val="24"/>
          <w:u w:val="single"/>
        </w:rPr>
        <w:t>accounts</w:t>
      </w:r>
      <w:r>
        <w:rPr>
          <w:rFonts w:ascii="Times New Roman" w:hAnsi="Times New Roman"/>
          <w:color w:val="000000"/>
          <w:sz w:val="24"/>
        </w:rPr>
        <w:t xml:space="preserve">), </w:t>
      </w:r>
      <w:r>
        <w:rPr>
          <w:rFonts w:ascii="Times New Roman" w:hAnsi="Times New Roman"/>
          <w:color w:val="000000"/>
          <w:sz w:val="24"/>
          <w:u w:val="single"/>
        </w:rPr>
        <w:t>para h</w:t>
      </w:r>
      <w:r>
        <w:rPr>
          <w:rFonts w:ascii="Times New Roman" w:hAnsi="Times New Roman"/>
          <w:color w:val="000000"/>
          <w:sz w:val="24"/>
        </w:rPr>
        <w:t xml:space="preserve"> (</w:t>
      </w:r>
      <w:r>
        <w:rPr>
          <w:rFonts w:ascii="Times New Roman" w:hAnsi="Times New Roman"/>
          <w:i/>
          <w:color w:val="000000"/>
          <w:sz w:val="24"/>
          <w:u w:val="single"/>
        </w:rPr>
        <w:t>Extension</w:t>
      </w:r>
      <w:r>
        <w:rPr>
          <w:rFonts w:ascii="Times New Roman" w:hAnsi="Times New Roman"/>
          <w:color w:val="000000"/>
          <w:sz w:val="24"/>
          <w:u w:val="single"/>
        </w:rPr>
        <w:t xml:space="preserve"> </w:t>
      </w:r>
      <w:r>
        <w:rPr>
          <w:rFonts w:ascii="Times New Roman" w:hAnsi="Times New Roman"/>
          <w:i/>
          <w:color w:val="000000"/>
          <w:sz w:val="24"/>
          <w:u w:val="single"/>
        </w:rPr>
        <w:t>or</w:t>
      </w:r>
      <w:r>
        <w:rPr>
          <w:rFonts w:ascii="Times New Roman" w:hAnsi="Times New Roman"/>
          <w:color w:val="000000"/>
          <w:sz w:val="24"/>
          <w:u w:val="single"/>
        </w:rPr>
        <w:t xml:space="preserve"> </w:t>
      </w:r>
      <w:r>
        <w:rPr>
          <w:rFonts w:ascii="Times New Roman" w:hAnsi="Times New Roman"/>
          <w:i/>
          <w:color w:val="000000"/>
          <w:sz w:val="24"/>
          <w:u w:val="single"/>
        </w:rPr>
        <w:t>amendment</w:t>
      </w:r>
      <w:r>
        <w:rPr>
          <w:rFonts w:ascii="Times New Roman" w:hAnsi="Times New Roman"/>
          <w:color w:val="000000"/>
          <w:sz w:val="24"/>
          <w:u w:val="single"/>
        </w:rPr>
        <w:t xml:space="preserve"> </w:t>
      </w:r>
      <w:r>
        <w:rPr>
          <w:rFonts w:ascii="Times New Roman" w:hAnsi="Times New Roman"/>
          <w:i/>
          <w:color w:val="000000"/>
          <w:sz w:val="24"/>
          <w:u w:val="single"/>
        </w:rPr>
        <w:t>of</w:t>
      </w:r>
      <w:r>
        <w:rPr>
          <w:rFonts w:ascii="Times New Roman" w:hAnsi="Times New Roman"/>
          <w:color w:val="000000"/>
          <w:sz w:val="24"/>
          <w:u w:val="single"/>
        </w:rPr>
        <w:t xml:space="preserve"> </w:t>
      </w:r>
      <w:r>
        <w:rPr>
          <w:rFonts w:ascii="Times New Roman" w:hAnsi="Times New Roman"/>
          <w:i/>
          <w:color w:val="000000"/>
          <w:sz w:val="24"/>
          <w:u w:val="single"/>
        </w:rPr>
        <w:t>pool</w:t>
      </w:r>
      <w:r>
        <w:rPr>
          <w:rFonts w:ascii="Times New Roman" w:hAnsi="Times New Roman"/>
          <w:color w:val="000000"/>
          <w:sz w:val="24"/>
          <w:u w:val="single"/>
        </w:rPr>
        <w:t xml:space="preserve"> </w:t>
      </w:r>
      <w:r>
        <w:rPr>
          <w:rFonts w:ascii="Times New Roman" w:hAnsi="Times New Roman"/>
          <w:i/>
          <w:color w:val="000000"/>
          <w:sz w:val="24"/>
          <w:u w:val="single"/>
        </w:rPr>
        <w:t>receivables</w:t>
      </w:r>
      <w:r>
        <w:rPr>
          <w:rFonts w:ascii="Times New Roman" w:hAnsi="Times New Roman"/>
          <w:color w:val="000000"/>
          <w:sz w:val="24"/>
        </w:rPr>
        <w:t xml:space="preserve">), </w:t>
      </w:r>
      <w:r>
        <w:rPr>
          <w:rFonts w:ascii="Times New Roman" w:hAnsi="Times New Roman"/>
          <w:color w:val="000000"/>
          <w:sz w:val="24"/>
          <w:u w:val="single"/>
        </w:rPr>
        <w:t>para i</w:t>
      </w:r>
      <w:r>
        <w:rPr>
          <w:rFonts w:ascii="Times New Roman" w:hAnsi="Times New Roman"/>
          <w:color w:val="000000"/>
          <w:sz w:val="24"/>
        </w:rPr>
        <w:t xml:space="preserve"> (</w:t>
      </w:r>
      <w:r>
        <w:rPr>
          <w:rFonts w:ascii="Times New Roman" w:hAnsi="Times New Roman"/>
          <w:i/>
          <w:color w:val="000000"/>
          <w:sz w:val="24"/>
          <w:u w:val="single"/>
        </w:rPr>
        <w:t>change</w:t>
      </w:r>
      <w:r>
        <w:rPr>
          <w:rFonts w:ascii="Times New Roman" w:hAnsi="Times New Roman"/>
          <w:color w:val="000000"/>
          <w:sz w:val="24"/>
          <w:u w:val="single"/>
        </w:rPr>
        <w:t xml:space="preserve"> </w:t>
      </w:r>
      <w:r>
        <w:rPr>
          <w:rFonts w:ascii="Times New Roman" w:hAnsi="Times New Roman"/>
          <w:i/>
          <w:color w:val="000000"/>
          <w:sz w:val="24"/>
          <w:u w:val="single"/>
        </w:rPr>
        <w:t>in</w:t>
      </w:r>
      <w:r>
        <w:rPr>
          <w:rFonts w:ascii="Times New Roman" w:hAnsi="Times New Roman"/>
          <w:color w:val="000000"/>
          <w:sz w:val="24"/>
          <w:u w:val="single"/>
        </w:rPr>
        <w:t xml:space="preserve"> </w:t>
      </w:r>
      <w:r>
        <w:rPr>
          <w:rFonts w:ascii="Times New Roman" w:hAnsi="Times New Roman"/>
          <w:i/>
          <w:color w:val="000000"/>
          <w:sz w:val="24"/>
          <w:u w:val="single"/>
        </w:rPr>
        <w:t>credit</w:t>
      </w:r>
      <w:r>
        <w:rPr>
          <w:rFonts w:ascii="Times New Roman" w:hAnsi="Times New Roman"/>
          <w:color w:val="000000"/>
          <w:sz w:val="24"/>
          <w:u w:val="single"/>
        </w:rPr>
        <w:t xml:space="preserve"> </w:t>
      </w:r>
      <w:r>
        <w:rPr>
          <w:rFonts w:ascii="Times New Roman" w:hAnsi="Times New Roman"/>
          <w:i/>
          <w:color w:val="000000"/>
          <w:sz w:val="24"/>
          <w:u w:val="single"/>
        </w:rPr>
        <w:t>and</w:t>
      </w:r>
      <w:r>
        <w:rPr>
          <w:rFonts w:ascii="Times New Roman" w:hAnsi="Times New Roman"/>
          <w:color w:val="000000"/>
          <w:sz w:val="24"/>
          <w:u w:val="single"/>
        </w:rPr>
        <w:t xml:space="preserve"> </w:t>
      </w:r>
      <w:r>
        <w:rPr>
          <w:rFonts w:ascii="Times New Roman" w:hAnsi="Times New Roman"/>
          <w:i/>
          <w:color w:val="000000"/>
          <w:sz w:val="24"/>
          <w:u w:val="single"/>
        </w:rPr>
        <w:t>collection</w:t>
      </w:r>
      <w:r>
        <w:rPr>
          <w:rFonts w:ascii="Times New Roman" w:hAnsi="Times New Roman"/>
          <w:color w:val="000000"/>
          <w:sz w:val="24"/>
          <w:u w:val="single"/>
        </w:rPr>
        <w:t xml:space="preserve"> </w:t>
      </w:r>
      <w:r>
        <w:rPr>
          <w:rFonts w:ascii="Times New Roman" w:hAnsi="Times New Roman"/>
          <w:i/>
          <w:color w:val="000000"/>
          <w:sz w:val="24"/>
          <w:u w:val="single"/>
        </w:rPr>
        <w:t>polic</w:t>
      </w:r>
      <w:r>
        <w:rPr>
          <w:rFonts w:ascii="Times New Roman" w:hAnsi="Times New Roman"/>
          <w:color w:val="000000"/>
          <w:sz w:val="24"/>
          <w:u w:val="single"/>
        </w:rPr>
        <w:t>y</w:t>
      </w:r>
      <w:r>
        <w:rPr>
          <w:rFonts w:ascii="Times New Roman" w:hAnsi="Times New Roman"/>
          <w:color w:val="000000"/>
          <w:sz w:val="24"/>
        </w:rPr>
        <w:t xml:space="preserve">) or </w:t>
      </w:r>
      <w:r>
        <w:rPr>
          <w:rFonts w:ascii="Times New Roman" w:hAnsi="Times New Roman"/>
          <w:color w:val="000000"/>
          <w:sz w:val="24"/>
          <w:u w:val="single"/>
        </w:rPr>
        <w:t xml:space="preserve">para l </w:t>
      </w:r>
      <w:r>
        <w:rPr>
          <w:rFonts w:ascii="Times New Roman" w:hAnsi="Times New Roman"/>
          <w:color w:val="000000"/>
          <w:sz w:val="24"/>
        </w:rPr>
        <w:t>(</w:t>
      </w:r>
      <w:r>
        <w:rPr>
          <w:rFonts w:ascii="Times New Roman" w:hAnsi="Times New Roman"/>
          <w:i/>
          <w:color w:val="000000"/>
          <w:sz w:val="24"/>
          <w:u w:val="single"/>
        </w:rPr>
        <w:t>change</w:t>
      </w:r>
      <w:r>
        <w:rPr>
          <w:rFonts w:ascii="Times New Roman" w:hAnsi="Times New Roman"/>
          <w:color w:val="000000"/>
          <w:sz w:val="24"/>
          <w:u w:val="single"/>
        </w:rPr>
        <w:t xml:space="preserve"> </w:t>
      </w:r>
      <w:r>
        <w:rPr>
          <w:rFonts w:ascii="Times New Roman" w:hAnsi="Times New Roman"/>
          <w:i/>
          <w:color w:val="000000"/>
          <w:sz w:val="24"/>
          <w:u w:val="single"/>
        </w:rPr>
        <w:t>in</w:t>
      </w:r>
      <w:r>
        <w:rPr>
          <w:rFonts w:ascii="Times New Roman" w:hAnsi="Times New Roman"/>
          <w:color w:val="000000"/>
          <w:sz w:val="24"/>
          <w:u w:val="single"/>
        </w:rPr>
        <w:t xml:space="preserve"> </w:t>
      </w:r>
      <w:r>
        <w:rPr>
          <w:rFonts w:ascii="Times New Roman" w:hAnsi="Times New Roman"/>
          <w:i/>
          <w:color w:val="000000"/>
          <w:sz w:val="24"/>
          <w:u w:val="single"/>
        </w:rPr>
        <w:t>payment</w:t>
      </w:r>
      <w:r>
        <w:rPr>
          <w:rFonts w:ascii="Times New Roman" w:hAnsi="Times New Roman"/>
          <w:color w:val="000000"/>
          <w:sz w:val="24"/>
          <w:u w:val="single"/>
        </w:rPr>
        <w:t xml:space="preserve"> </w:t>
      </w:r>
      <w:r>
        <w:rPr>
          <w:rFonts w:ascii="Times New Roman" w:hAnsi="Times New Roman"/>
          <w:i/>
          <w:color w:val="000000"/>
          <w:sz w:val="24"/>
          <w:u w:val="single"/>
        </w:rPr>
        <w:t>instructions</w:t>
      </w:r>
      <w:r>
        <w:rPr>
          <w:rFonts w:ascii="Times New Roman" w:hAnsi="Times New Roman"/>
          <w:color w:val="000000"/>
          <w:sz w:val="24"/>
          <w:u w:val="single"/>
        </w:rPr>
        <w:t xml:space="preserve"> </w:t>
      </w:r>
      <w:r>
        <w:rPr>
          <w:rFonts w:ascii="Times New Roman" w:hAnsi="Times New Roman"/>
          <w:i/>
          <w:color w:val="000000"/>
          <w:sz w:val="24"/>
          <w:u w:val="single"/>
        </w:rPr>
        <w:t>to</w:t>
      </w:r>
      <w:r>
        <w:rPr>
          <w:rFonts w:ascii="Times New Roman" w:hAnsi="Times New Roman"/>
          <w:color w:val="000000"/>
          <w:sz w:val="24"/>
          <w:u w:val="single"/>
        </w:rPr>
        <w:t xml:space="preserve"> </w:t>
      </w:r>
      <w:r>
        <w:rPr>
          <w:rFonts w:ascii="Times New Roman" w:hAnsi="Times New Roman"/>
          <w:i/>
          <w:color w:val="000000"/>
          <w:sz w:val="24"/>
          <w:u w:val="single"/>
        </w:rPr>
        <w:t>obligors</w:t>
      </w:r>
      <w:r>
        <w:rPr>
          <w:rFonts w:ascii="Times New Roman" w:hAnsi="Times New Roman"/>
          <w:color w:val="000000"/>
          <w:sz w:val="24"/>
        </w:rPr>
        <w:t xml:space="preserve">) of Schedule 4 Part 2 (Covenants of the Servicer and Ashland Sub-Servicers) (any of the preceding parenthetical phrases in this </w:t>
      </w:r>
      <w:r>
        <w:rPr>
          <w:rFonts w:ascii="Times New Roman" w:hAnsi="Times New Roman"/>
          <w:color w:val="000000"/>
          <w:sz w:val="24"/>
          <w:u w:val="single"/>
        </w:rPr>
        <w:t>clause (a)</w:t>
      </w:r>
      <w:r>
        <w:rPr>
          <w:rFonts w:ascii="Times New Roman" w:hAnsi="Times New Roman"/>
          <w:color w:val="000000"/>
          <w:sz w:val="24"/>
        </w:rPr>
        <w:t xml:space="preserve"> are for purposes of reference only and shall not otherwise affect the meaning or interpretation of any provision hereof), (v) shall fail to observe or perform any other term, covenant or agreement to be observed or performed by it under </w:t>
      </w:r>
      <w:r>
        <w:rPr>
          <w:rFonts w:ascii="Times New Roman" w:hAnsi="Times New Roman"/>
          <w:color w:val="000000"/>
          <w:sz w:val="24"/>
          <w:u w:val="single"/>
        </w:rPr>
        <w:t>Section 3.01</w:t>
      </w:r>
      <w:r>
        <w:rPr>
          <w:rFonts w:ascii="Times New Roman" w:hAnsi="Times New Roman"/>
          <w:color w:val="000000"/>
          <w:sz w:val="24"/>
        </w:rPr>
        <w:t xml:space="preserve"> of the Receivables Purchase Agreement, or (vi) shall fail to observe or perform in any material respect any other term, covenant or agreement hereunder or under any of the other Transaction Documents to which such Person is a party or by which such Person is bound, and such failure in the case of this </w:t>
      </w:r>
      <w:r>
        <w:rPr>
          <w:rFonts w:ascii="Times New Roman" w:hAnsi="Times New Roman"/>
          <w:color w:val="000000"/>
          <w:sz w:val="24"/>
          <w:u w:val="single"/>
        </w:rPr>
        <w:t>clause (a)</w:t>
      </w:r>
      <w:r>
        <w:rPr>
          <w:rFonts w:ascii="Times New Roman" w:hAnsi="Times New Roman"/>
          <w:color w:val="000000"/>
          <w:sz w:val="24"/>
        </w:rPr>
        <w:t xml:space="preserve"> shall remain unremedied for thirty (30) days after the earlier to occur of (A) receipt of notice thereof from any Group Agent, any Purchaser or the Administrative Agent or (B) knowledge thereof by a Responsible Officer; or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any representation, warranty, certification or statement made by the Servicer in this Agreement, in any Purchase and Sale Agreement or in any of the other Transaction Documents or in any certificate or report delivered by it pursuant to any of the foregoing shall prove to have been incorrect in any material respect (except any representation or warranty qualified by materiality or by reference to a material adverse effect, which shall prove to have been incorrect in any respect) when made or confirmed and such circumstance shall remain uncured for thirty (30) days after the earlier to occur of (i) receipt of notice thereof from any Group Agent, any Purchaser or the Administrative Agent or (ii) knowledge thereof by a Responsible Officer; </w:t>
      </w:r>
      <w:r>
        <w:rPr>
          <w:rFonts w:ascii="Times New Roman" w:hAnsi="Times New Roman"/>
          <w:i/>
          <w:color w:val="000000"/>
          <w:sz w:val="24"/>
        </w:rPr>
        <w:t xml:space="preserve">provided </w:t>
      </w:r>
      <w:r>
        <w:rPr>
          <w:rFonts w:ascii="Times New Roman" w:hAnsi="Times New Roman"/>
          <w:color w:val="000000"/>
          <w:sz w:val="24"/>
        </w:rPr>
        <w:t>that no such representation, warranty, or certification hereunder shall be deemed to be incorrect or violated to the extent any affected Receivable is subject to a Deemed Collection and all required amounts with respect to such Receivable have been deposited into a Collection Account;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any Insolvency Proceeding shall be instituted by or against the Servicer or any of its Material Subsidiaries.</w:t>
      </w:r>
    </w:p>
    <w:p>
      <w:pPr>
        <w:pStyle w:val="TextBody"/>
        <w:bidi w:val="0"/>
        <w:spacing w:before="240" w:after="283"/>
        <w:jc w:val="both"/>
        <w:rPr/>
      </w:pPr>
      <w:r>
        <w:rPr>
          <w:color w:val="000000"/>
        </w:rPr>
        <w:t>“</w:t>
      </w:r>
      <w:r>
        <w:rPr>
          <w:rFonts w:ascii="Times New Roman" w:hAnsi="Times New Roman"/>
          <w:color w:val="000000"/>
          <w:sz w:val="24"/>
          <w:u w:val="single"/>
        </w:rPr>
        <w:t>Servicer Indemnified Amounts</w:t>
      </w:r>
      <w:r>
        <w:rPr>
          <w:rFonts w:ascii="Times New Roman" w:hAnsi="Times New Roman"/>
          <w:color w:val="000000"/>
          <w:sz w:val="24"/>
        </w:rPr>
        <w:t>” has the meaning set forth in para (a) of Schedule 5 (</w:t>
      </w:r>
      <w:r>
        <w:rPr>
          <w:rFonts w:ascii="Times New Roman" w:hAnsi="Times New Roman"/>
          <w:i/>
          <w:color w:val="000000"/>
          <w:sz w:val="24"/>
        </w:rPr>
        <w:t>Indemnities</w:t>
      </w:r>
      <w:r>
        <w:rPr>
          <w:rFonts w:ascii="Times New Roman" w:hAnsi="Times New Roman"/>
          <w:color w:val="000000"/>
          <w:sz w:val="24"/>
        </w:rPr>
        <w:t>) Part 2 of this Agreement.</w:t>
      </w:r>
    </w:p>
    <w:p>
      <w:pPr>
        <w:pStyle w:val="TextBody"/>
        <w:bidi w:val="0"/>
        <w:spacing w:before="240" w:after="283"/>
        <w:jc w:val="both"/>
        <w:rPr/>
      </w:pPr>
      <w:r>
        <w:rPr>
          <w:color w:val="000000"/>
        </w:rPr>
        <w:t>“</w:t>
      </w:r>
      <w:r>
        <w:rPr>
          <w:rFonts w:ascii="Times New Roman" w:hAnsi="Times New Roman"/>
          <w:color w:val="000000"/>
          <w:sz w:val="24"/>
          <w:u w:val="single"/>
        </w:rPr>
        <w:t>Servicer Indemnified Party</w:t>
      </w:r>
      <w:r>
        <w:rPr>
          <w:rFonts w:ascii="Times New Roman" w:hAnsi="Times New Roman"/>
          <w:color w:val="000000"/>
          <w:sz w:val="24"/>
        </w:rPr>
        <w:t>” has the meaning set forth in para (a) of Schedule 5 (</w:t>
      </w:r>
      <w:r>
        <w:rPr>
          <w:rFonts w:ascii="Times New Roman" w:hAnsi="Times New Roman"/>
          <w:i/>
          <w:color w:val="000000"/>
          <w:sz w:val="24"/>
        </w:rPr>
        <w:t>Indemnities</w:t>
      </w:r>
      <w:r>
        <w:rPr>
          <w:rFonts w:ascii="Times New Roman" w:hAnsi="Times New Roman"/>
          <w:color w:val="000000"/>
          <w:sz w:val="24"/>
        </w:rPr>
        <w:t>) Part 2 of this Agreement.</w:t>
      </w:r>
    </w:p>
    <w:p>
      <w:pPr>
        <w:pStyle w:val="TextBody"/>
        <w:bidi w:val="0"/>
        <w:spacing w:before="240" w:after="283"/>
        <w:jc w:val="both"/>
        <w:rPr/>
      </w:pPr>
      <w:r>
        <w:rPr>
          <w:color w:val="000000"/>
        </w:rPr>
        <w:t>“</w:t>
      </w:r>
      <w:r>
        <w:rPr>
          <w:rFonts w:ascii="Times New Roman" w:hAnsi="Times New Roman"/>
          <w:color w:val="000000"/>
          <w:sz w:val="24"/>
          <w:u w:val="single"/>
        </w:rPr>
        <w:t>Servicing Fee</w:t>
      </w:r>
      <w:r>
        <w:rPr>
          <w:rFonts w:ascii="Times New Roman" w:hAnsi="Times New Roman"/>
          <w:color w:val="000000"/>
          <w:sz w:val="24"/>
        </w:rPr>
        <w:t xml:space="preserve">” means the fee referred to in </w:t>
      </w:r>
      <w:r>
        <w:rPr>
          <w:rFonts w:ascii="Times New Roman" w:hAnsi="Times New Roman"/>
          <w:color w:val="000000"/>
          <w:sz w:val="24"/>
          <w:u w:val="single"/>
        </w:rPr>
        <w:t>Section 6.06(a)</w:t>
      </w:r>
      <w:r>
        <w:rPr>
          <w:rFonts w:ascii="Times New Roman" w:hAnsi="Times New Roman"/>
          <w:color w:val="000000"/>
          <w:sz w:val="24"/>
        </w:rPr>
        <w:t xml:space="preserve"> of the Receivables Purchase Agreement.</w:t>
      </w:r>
    </w:p>
    <w:p>
      <w:pPr>
        <w:pStyle w:val="TextBody"/>
        <w:bidi w:val="0"/>
        <w:spacing w:before="240" w:after="283"/>
        <w:jc w:val="both"/>
        <w:rPr/>
      </w:pPr>
      <w:r>
        <w:rPr>
          <w:color w:val="000000"/>
        </w:rPr>
        <w:t>“</w:t>
      </w:r>
      <w:r>
        <w:rPr>
          <w:rFonts w:ascii="Times New Roman" w:hAnsi="Times New Roman"/>
          <w:color w:val="000000"/>
          <w:sz w:val="24"/>
          <w:u w:val="single"/>
        </w:rPr>
        <w:t>Settlement Date</w:t>
      </w:r>
      <w:r>
        <w:rPr>
          <w:rFonts w:ascii="Times New Roman" w:hAnsi="Times New Roman"/>
          <w:color w:val="000000"/>
          <w:sz w:val="24"/>
        </w:rPr>
        <w:t xml:space="preserve">” means with respect to any Portion of Capital for any Yield Period or any Yield or Fees, (i) so long as no Event of Termination has occurred and is continuing and the Termination Date has not occurred, the following Monthly Settlement Date and (ii) on and after the Termination Date or if an Event of Termination has occurred and is continuing, each day selected from time to time by the Administrative Agent (with the consent or at the direction of the Majority Group Agents) (it being understood that the Administrative Agent (with the consent or at the direction of the Majority Group Agents) may select such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Settlement Date to occur as frequently as daily), or, in the absence of such selection, the Monthly Settlement Date.</w:t>
      </w:r>
    </w:p>
    <w:p>
      <w:pPr>
        <w:pStyle w:val="TextBody"/>
        <w:bidi w:val="0"/>
        <w:spacing w:before="240" w:after="283"/>
        <w:jc w:val="both"/>
        <w:rPr/>
      </w:pPr>
      <w:r>
        <w:rPr>
          <w:color w:val="000000"/>
        </w:rPr>
        <w:t>“</w:t>
      </w:r>
      <w:r>
        <w:rPr>
          <w:rFonts w:ascii="Times New Roman" w:hAnsi="Times New Roman"/>
          <w:color w:val="000000"/>
          <w:sz w:val="24"/>
          <w:u w:val="single"/>
        </w:rPr>
        <w:t>Short-Term Re-Aged Receivable</w:t>
      </w:r>
      <w:r>
        <w:rPr>
          <w:rFonts w:ascii="Times New Roman" w:hAnsi="Times New Roman"/>
          <w:color w:val="000000"/>
          <w:sz w:val="24"/>
        </w:rPr>
        <w:t>” means a Receivable which has been subject to (i) a payment term extension of less than 30 days beyond its original due date and (ii) no more than one payment term extension of any length beyond its original due date.</w:t>
      </w:r>
    </w:p>
    <w:p>
      <w:pPr>
        <w:pStyle w:val="TextBody"/>
        <w:bidi w:val="0"/>
        <w:spacing w:before="240" w:after="283"/>
        <w:jc w:val="both"/>
        <w:rPr/>
      </w:pPr>
      <w:r>
        <w:rPr>
          <w:color w:val="000000"/>
        </w:rPr>
        <w:t>“</w:t>
      </w:r>
      <w:r>
        <w:rPr>
          <w:rFonts w:ascii="Times New Roman" w:hAnsi="Times New Roman"/>
          <w:color w:val="000000"/>
          <w:sz w:val="24"/>
          <w:u w:val="single"/>
        </w:rPr>
        <w:t>Singapore Collection Account Pledge Agreement</w:t>
      </w:r>
      <w:r>
        <w:rPr>
          <w:rFonts w:ascii="Times New Roman" w:hAnsi="Times New Roman"/>
          <w:color w:val="000000"/>
          <w:sz w:val="24"/>
        </w:rPr>
        <w:t xml:space="preserve">” means, with respect to any Collection Account in Singapore, any </w:t>
      </w:r>
      <w:r>
        <w:rPr>
          <w:rFonts w:ascii="Times New Roman" w:hAnsi="Times New Roman"/>
          <w:i/>
          <w:color w:val="000000"/>
          <w:sz w:val="24"/>
        </w:rPr>
        <w:t xml:space="preserve">in rem </w:t>
      </w:r>
      <w:r>
        <w:rPr>
          <w:rFonts w:ascii="Times New Roman" w:hAnsi="Times New Roman"/>
          <w:color w:val="000000"/>
          <w:sz w:val="24"/>
        </w:rPr>
        <w:t>security in the form of a pledge agreement satisfactory to the Administrative Agent, entered into by (1) the Singaporean Originator as pledgor, (2) the Seller as pledgee and (3) the Administrative Agent.</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Singapore Purchase and Sale Agreement</w:t>
      </w:r>
      <w:r>
        <w:rPr>
          <w:rFonts w:ascii="Times New Roman" w:hAnsi="Times New Roman"/>
          <w:color w:val="000000"/>
          <w:sz w:val="24"/>
        </w:rPr>
        <w:t>” means the Singapore law purchase and sale agreement dated as of the Closing Date, between the Singaporean Originator, the Servicer and the Seller.</w:t>
      </w:r>
    </w:p>
    <w:p>
      <w:pPr>
        <w:pStyle w:val="TextBody"/>
        <w:bidi w:val="0"/>
        <w:spacing w:before="240" w:after="283"/>
        <w:jc w:val="both"/>
        <w:rPr/>
      </w:pPr>
      <w:r>
        <w:rPr>
          <w:color w:val="000000"/>
        </w:rPr>
        <w:t>“</w:t>
      </w:r>
      <w:r>
        <w:rPr>
          <w:rFonts w:ascii="Times New Roman" w:hAnsi="Times New Roman"/>
          <w:color w:val="000000"/>
          <w:sz w:val="24"/>
          <w:u w:val="single"/>
        </w:rPr>
        <w:t>SOFR</w:t>
      </w:r>
      <w:r>
        <w:rPr>
          <w:rFonts w:ascii="Times New Roman" w:hAnsi="Times New Roman"/>
          <w:color w:val="000000"/>
          <w:sz w:val="24"/>
        </w:rPr>
        <w:t>” means, with respect to any applicable determination date, the Secured Overnight Financing Rate published on the second U.S. Government Securities Business Day preceding such date by the SOFR Administrator on the Federal Reserve Bank of New York’s website (or any successor source); provided however that if such determination date is not a U.S. Government Securities Business Day, then SOFR means such rate that applied on the first U.S. Government Securities Business Day immediately prior thereto.</w:t>
      </w:r>
    </w:p>
    <w:p>
      <w:pPr>
        <w:pStyle w:val="TextBody"/>
        <w:bidi w:val="0"/>
        <w:spacing w:before="240" w:after="283"/>
        <w:jc w:val="both"/>
        <w:rPr/>
      </w:pPr>
      <w:r>
        <w:rPr>
          <w:color w:val="000000"/>
        </w:rPr>
        <w:t>“</w:t>
      </w:r>
      <w:r>
        <w:rPr>
          <w:rFonts w:ascii="Times New Roman" w:hAnsi="Times New Roman"/>
          <w:color w:val="000000"/>
          <w:sz w:val="24"/>
          <w:u w:val="single"/>
        </w:rPr>
        <w:t>SOFR Administrator</w:t>
      </w:r>
      <w:r>
        <w:rPr>
          <w:rFonts w:ascii="Times New Roman" w:hAnsi="Times New Roman"/>
          <w:color w:val="000000"/>
          <w:sz w:val="24"/>
        </w:rPr>
        <w:t>” means the Federal Reserve Bank of New York, as the administrator of SOFR, or any successor administrator of SOFR designated by the Federal Reserve Bank of New York or other Person acting as the SOFR Administrator at such time that is satisfactory to the Administrative Agent.</w:t>
      </w:r>
    </w:p>
    <w:p>
      <w:pPr>
        <w:pStyle w:val="TextBody"/>
        <w:bidi w:val="0"/>
        <w:spacing w:before="240" w:after="283"/>
        <w:jc w:val="both"/>
        <w:rPr/>
      </w:pPr>
      <w:r>
        <w:rPr>
          <w:color w:val="000000"/>
        </w:rPr>
        <w:t>“</w:t>
      </w:r>
      <w:r>
        <w:rPr>
          <w:rFonts w:ascii="Times New Roman" w:hAnsi="Times New Roman"/>
          <w:color w:val="000000"/>
          <w:sz w:val="24"/>
          <w:u w:val="single"/>
        </w:rPr>
        <w:t>SOFR Floor</w:t>
      </w:r>
      <w:r>
        <w:rPr>
          <w:rFonts w:ascii="Times New Roman" w:hAnsi="Times New Roman"/>
          <w:color w:val="000000"/>
          <w:sz w:val="24"/>
        </w:rPr>
        <w:t>” means a rate of interest per annum equal to zero basis points (0.00%).</w:t>
      </w:r>
    </w:p>
    <w:p>
      <w:pPr>
        <w:pStyle w:val="TextBody"/>
        <w:bidi w:val="0"/>
        <w:spacing w:before="240" w:after="283"/>
        <w:jc w:val="both"/>
        <w:rPr/>
      </w:pPr>
      <w:r>
        <w:rPr>
          <w:color w:val="000000"/>
        </w:rPr>
        <w:t>“</w:t>
      </w:r>
      <w:r>
        <w:rPr>
          <w:rFonts w:ascii="Times New Roman" w:hAnsi="Times New Roman"/>
          <w:color w:val="000000"/>
          <w:sz w:val="24"/>
          <w:u w:val="single"/>
        </w:rPr>
        <w:t>SOFR Scheduled Unavailability Date</w:t>
      </w:r>
      <w:r>
        <w:rPr>
          <w:rFonts w:ascii="Times New Roman" w:hAnsi="Times New Roman"/>
          <w:color w:val="000000"/>
          <w:sz w:val="24"/>
        </w:rPr>
        <w:t xml:space="preserve">” has the meaning set forth in </w:t>
      </w:r>
      <w:r>
        <w:rPr>
          <w:rFonts w:ascii="Times New Roman" w:hAnsi="Times New Roman"/>
          <w:color w:val="000000"/>
          <w:sz w:val="24"/>
          <w:u w:val="single"/>
        </w:rPr>
        <w:t xml:space="preserve">Section 4.05(b)(ii) </w:t>
      </w:r>
      <w:r>
        <w:rPr>
          <w:rFonts w:ascii="Times New Roman" w:hAnsi="Times New Roman"/>
          <w:color w:val="000000"/>
          <w:sz w:val="24"/>
        </w:rPr>
        <w:t>of the Receivables Purchase Agreement.</w:t>
      </w:r>
    </w:p>
    <w:p>
      <w:pPr>
        <w:pStyle w:val="TextBody"/>
        <w:bidi w:val="0"/>
        <w:spacing w:before="240" w:after="283"/>
        <w:jc w:val="both"/>
        <w:rPr/>
      </w:pPr>
      <w:r>
        <w:rPr>
          <w:color w:val="000000"/>
        </w:rPr>
        <w:t>“</w:t>
      </w:r>
      <w:r>
        <w:rPr>
          <w:rFonts w:ascii="Times New Roman" w:hAnsi="Times New Roman"/>
          <w:color w:val="000000"/>
          <w:sz w:val="24"/>
          <w:u w:val="single"/>
        </w:rPr>
        <w:t>SOFR Successor Rate</w:t>
      </w:r>
      <w:r>
        <w:rPr>
          <w:rFonts w:ascii="Times New Roman" w:hAnsi="Times New Roman"/>
          <w:color w:val="000000"/>
          <w:sz w:val="24"/>
        </w:rPr>
        <w:t>” has the meaning set forth in Section 4.05(b) of the Receivables Purchase Agreement.</w:t>
      </w:r>
    </w:p>
    <w:p>
      <w:pPr>
        <w:pStyle w:val="TextBody"/>
        <w:bidi w:val="0"/>
        <w:spacing w:before="240" w:after="283"/>
        <w:jc w:val="both"/>
        <w:rPr/>
      </w:pPr>
      <w:r>
        <w:rPr>
          <w:color w:val="000000"/>
        </w:rPr>
        <w:t>“</w:t>
      </w:r>
      <w:r>
        <w:rPr>
          <w:rFonts w:ascii="Times New Roman" w:hAnsi="Times New Roman"/>
          <w:color w:val="000000"/>
          <w:sz w:val="24"/>
          <w:u w:val="single"/>
        </w:rPr>
        <w:t>Sold Assets</w:t>
      </w:r>
      <w:r>
        <w:rPr>
          <w:rFonts w:ascii="Times New Roman" w:hAnsi="Times New Roman"/>
          <w:color w:val="000000"/>
          <w:sz w:val="24"/>
        </w:rPr>
        <w:t xml:space="preserve">” has the meaning set forth in </w:t>
      </w:r>
      <w:r>
        <w:rPr>
          <w:rFonts w:ascii="Times New Roman" w:hAnsi="Times New Roman"/>
          <w:color w:val="000000"/>
          <w:sz w:val="24"/>
          <w:u w:val="single"/>
        </w:rPr>
        <w:t>Section 2.01(b)</w:t>
      </w:r>
      <w:r>
        <w:rPr>
          <w:rFonts w:ascii="Times New Roman" w:hAnsi="Times New Roman"/>
          <w:color w:val="000000"/>
          <w:sz w:val="24"/>
        </w:rPr>
        <w:t xml:space="preserve"> of the Receivables Purchase Agreement.</w:t>
      </w:r>
    </w:p>
    <w:p>
      <w:pPr>
        <w:pStyle w:val="TextBody"/>
        <w:bidi w:val="0"/>
        <w:spacing w:before="240" w:after="283"/>
        <w:jc w:val="both"/>
        <w:rPr/>
      </w:pPr>
      <w:r>
        <w:rPr>
          <w:color w:val="000000"/>
        </w:rPr>
        <w:t>“</w:t>
      </w:r>
      <w:r>
        <w:rPr>
          <w:rFonts w:ascii="Times New Roman" w:hAnsi="Times New Roman"/>
          <w:color w:val="000000"/>
          <w:sz w:val="24"/>
          <w:u w:val="single"/>
        </w:rPr>
        <w:t>Sold Receivables</w:t>
      </w:r>
      <w:r>
        <w:rPr>
          <w:rFonts w:ascii="Times New Roman" w:hAnsi="Times New Roman"/>
          <w:color w:val="000000"/>
          <w:sz w:val="24"/>
        </w:rPr>
        <w:t xml:space="preserve">” means, collectively, (i) the Pool Receivables specified as “Sold Receivables” on the Initial Schedule of Sold Receivables, (ii) all additional Pool Receivables specified as “Sold Receivables” on the Investment Requests delivered with respect to all subsequent Investments made pursuant to the Receivables Purchase Agreement and (iii) all additional Pool Receivables designated as “Sold Receivables” and transferred by the Seller pursuant to </w:t>
      </w:r>
      <w:r>
        <w:rPr>
          <w:rFonts w:ascii="Times New Roman" w:hAnsi="Times New Roman"/>
          <w:color w:val="000000"/>
          <w:sz w:val="24"/>
          <w:u w:val="single"/>
        </w:rPr>
        <w:t>Section 2.01(b)</w:t>
      </w:r>
      <w:r>
        <w:rPr>
          <w:rFonts w:ascii="Times New Roman" w:hAnsi="Times New Roman"/>
          <w:color w:val="000000"/>
          <w:sz w:val="24"/>
        </w:rPr>
        <w:t xml:space="preserve"> of the Receivables Purchase Agreement in connection with a Release as contemplated by the first paragraph in </w:t>
      </w:r>
      <w:r>
        <w:rPr>
          <w:rFonts w:ascii="Times New Roman" w:hAnsi="Times New Roman"/>
          <w:color w:val="000000"/>
          <w:sz w:val="24"/>
          <w:u w:val="single"/>
        </w:rPr>
        <w:t>Section 3.01(a)</w:t>
      </w:r>
      <w:r>
        <w:rPr>
          <w:rFonts w:ascii="Times New Roman" w:hAnsi="Times New Roman"/>
          <w:color w:val="000000"/>
          <w:sz w:val="24"/>
        </w:rPr>
        <w:t xml:space="preserve"> of the Receivables Purchase Agreement.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Solvent</w:t>
      </w:r>
      <w:r>
        <w:rPr>
          <w:rFonts w:ascii="Times New Roman" w:hAnsi="Times New Roman"/>
          <w:color w:val="000000"/>
          <w:sz w:val="24"/>
        </w:rPr>
        <w:t>” means, with respect to any Person and as of any particular date, (i) the present fair market value (or present fair saleable value) of the assets of such Person is not less than the total amount required to pay the probable liabilities of such Person on its total existing debts and liabilities (including contingent liabilities) as they become absolute and matured, (ii) such Person is able to realize upon its assets and pay its debts and other liabilities, contingent obligations and commitments as they mature and become due in the normal course of business, (iii) such Person is not incurring debts or liabilities beyond its ability to pay such debts and liabilities as they mature and (iv) such Person is not engaged in any business or transaction, and is not about to engage in any business or transaction, for which its property would constitute unreasonably small capital after giving due consideration to the prevailing practice in the industry in which such Person is engaged.</w:t>
      </w:r>
    </w:p>
    <w:p>
      <w:pPr>
        <w:pStyle w:val="TextBody"/>
        <w:bidi w:val="0"/>
        <w:spacing w:before="240" w:after="283"/>
        <w:jc w:val="both"/>
        <w:rPr/>
      </w:pPr>
      <w:r>
        <w:rPr>
          <w:color w:val="000000"/>
        </w:rPr>
        <w:t>“</w:t>
      </w:r>
      <w:r>
        <w:rPr>
          <w:rFonts w:ascii="Times New Roman" w:hAnsi="Times New Roman"/>
          <w:color w:val="000000"/>
          <w:sz w:val="24"/>
          <w:u w:val="single"/>
        </w:rPr>
        <w:t>SONIA</w:t>
      </w:r>
      <w:r>
        <w:rPr>
          <w:rFonts w:ascii="Times New Roman" w:hAnsi="Times New Roman"/>
          <w:color w:val="000000"/>
          <w:sz w:val="24"/>
        </w:rPr>
        <w:t>” means, with respect to any applicable determination date, the Sterling Overnight Index Average Reference Rate published on the second Business Day preceding such date on the applicable Reuters screen page (or such other commercially available source providing such quotations as may be designated by the Administrative Agent from time to time); provided however that if such determination date is not a Business Day, SONIA means such rate that applied on the first Business Day immediately prior thereto.</w:t>
      </w:r>
    </w:p>
    <w:p>
      <w:pPr>
        <w:pStyle w:val="TextBody"/>
        <w:bidi w:val="0"/>
        <w:spacing w:before="240" w:after="283"/>
        <w:jc w:val="both"/>
        <w:rPr/>
      </w:pPr>
      <w:r>
        <w:rPr>
          <w:color w:val="000000"/>
        </w:rPr>
        <w:t>“</w:t>
      </w:r>
      <w:r>
        <w:rPr>
          <w:rFonts w:ascii="Times New Roman" w:hAnsi="Times New Roman"/>
          <w:color w:val="000000"/>
          <w:sz w:val="24"/>
          <w:u w:val="single"/>
        </w:rPr>
        <w:t>Spanish Collection Account Pledge Agreement</w:t>
      </w:r>
      <w:r>
        <w:rPr>
          <w:rFonts w:ascii="Times New Roman" w:hAnsi="Times New Roman"/>
          <w:color w:val="000000"/>
          <w:sz w:val="24"/>
        </w:rPr>
        <w:t xml:space="preserve">” means, with respect to any Collection Account in Spain, any </w:t>
      </w:r>
      <w:r>
        <w:rPr>
          <w:rFonts w:ascii="Times New Roman" w:hAnsi="Times New Roman"/>
          <w:i/>
          <w:color w:val="000000"/>
          <w:sz w:val="24"/>
        </w:rPr>
        <w:t>in</w:t>
      </w:r>
      <w:r>
        <w:rPr>
          <w:rFonts w:ascii="Times New Roman" w:hAnsi="Times New Roman"/>
          <w:color w:val="000000"/>
          <w:sz w:val="24"/>
        </w:rPr>
        <w:t xml:space="preserve"> </w:t>
      </w:r>
      <w:r>
        <w:rPr>
          <w:rFonts w:ascii="Times New Roman" w:hAnsi="Times New Roman"/>
          <w:i/>
          <w:color w:val="000000"/>
          <w:sz w:val="24"/>
        </w:rPr>
        <w:t>rem</w:t>
      </w:r>
      <w:r>
        <w:rPr>
          <w:rFonts w:ascii="Times New Roman" w:hAnsi="Times New Roman"/>
          <w:color w:val="000000"/>
          <w:sz w:val="24"/>
        </w:rPr>
        <w:t xml:space="preserve"> security in the form of a pledge agreement entered into either (i) by any Originator as pledgor and the Seller as pledgee or (ii) the Seller as pledgor and the Administrative Agent as pledgee and acknowledged by the related Collection Account Bank.</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Spanish Purchase and Sale Agreement</w:t>
      </w:r>
      <w:r>
        <w:rPr>
          <w:rFonts w:ascii="Times New Roman" w:hAnsi="Times New Roman"/>
          <w:color w:val="000000"/>
          <w:sz w:val="24"/>
        </w:rPr>
        <w:t>” means the Spanish law purchase and sale agreement dated as of the Closing Date, between the Spanish Originator, the Servicer and the Seller.</w:t>
      </w:r>
    </w:p>
    <w:p>
      <w:pPr>
        <w:pStyle w:val="TextBody"/>
        <w:bidi w:val="0"/>
        <w:spacing w:before="240" w:after="283"/>
        <w:jc w:val="both"/>
        <w:rPr/>
      </w:pPr>
      <w:r>
        <w:rPr>
          <w:color w:val="000000"/>
        </w:rPr>
        <w:t>“</w:t>
      </w:r>
      <w:r>
        <w:rPr>
          <w:rFonts w:ascii="Times New Roman" w:hAnsi="Times New Roman"/>
          <w:color w:val="000000"/>
          <w:sz w:val="24"/>
          <w:u w:val="single"/>
        </w:rPr>
        <w:t>Special Concentration Limit</w:t>
      </w:r>
      <w:r>
        <w:rPr>
          <w:rFonts w:ascii="Times New Roman" w:hAnsi="Times New Roman"/>
          <w:color w:val="000000"/>
          <w:sz w:val="24"/>
        </w:rPr>
        <w:t>” has the meaning set forth in the definition of Concentration Percentage.</w:t>
      </w:r>
    </w:p>
    <w:p>
      <w:pPr>
        <w:pStyle w:val="TextBody"/>
        <w:bidi w:val="0"/>
        <w:spacing w:before="240" w:after="283"/>
        <w:jc w:val="both"/>
        <w:rPr/>
      </w:pPr>
      <w:r>
        <w:rPr>
          <w:color w:val="000000"/>
        </w:rPr>
        <w:t>“</w:t>
      </w:r>
      <w:r>
        <w:rPr>
          <w:rFonts w:ascii="Times New Roman" w:hAnsi="Times New Roman"/>
          <w:color w:val="000000"/>
          <w:sz w:val="24"/>
          <w:u w:val="single"/>
        </w:rPr>
        <w:t>Special Obligor</w:t>
      </w:r>
      <w:r>
        <w:rPr>
          <w:rFonts w:ascii="Times New Roman" w:hAnsi="Times New Roman"/>
          <w:color w:val="000000"/>
          <w:sz w:val="24"/>
        </w:rPr>
        <w:t>” has the meaning set forth in the definition of Concentration Percentage.</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Special Obligor Country</w:t>
      </w:r>
      <w:r>
        <w:rPr>
          <w:rFonts w:ascii="Times New Roman" w:hAnsi="Times New Roman"/>
          <w:color w:val="000000"/>
          <w:sz w:val="24"/>
        </w:rPr>
        <w:t>” means each of Egypt, India and Turkey unless a Status Revocation as a Special Obligor Country has occurred.</w:t>
      </w:r>
    </w:p>
    <w:p>
      <w:pPr>
        <w:pStyle w:val="TextBody"/>
        <w:bidi w:val="0"/>
        <w:spacing w:before="240" w:after="283"/>
        <w:jc w:val="left"/>
        <w:rPr/>
      </w:pPr>
      <w:r>
        <w:rPr>
          <w:color w:val="000000"/>
        </w:rPr>
        <w:t>“</w:t>
      </w:r>
      <w:r>
        <w:rPr>
          <w:rFonts w:ascii="Times New Roman" w:hAnsi="Times New Roman"/>
          <w:color w:val="000000"/>
          <w:sz w:val="24"/>
        </w:rPr>
        <w:t xml:space="preserve">Specified Default” has the meaning given to that term in the 2026 Fee Letter. </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Status Revocation</w:t>
      </w:r>
      <w:r>
        <w:rPr>
          <w:rFonts w:ascii="Times New Roman" w:hAnsi="Times New Roman"/>
          <w:color w:val="000000"/>
          <w:sz w:val="24"/>
        </w:rPr>
        <w:t>” means the revocation of an Eligible Obligor Country’s status as an Identified Obligor Country or Special Obligor Country (as applicable), which shall occur when the Administrative Agent or any Group Agent elects to reduce the percentage applicable for the relevant Eligible Obligor Country to the then applicable percentage specified for such Eligible Obligor Country in the Eligible Obligor Country Ratings Grid in accordance with the definition of Excess Concentrations.</w:t>
      </w:r>
    </w:p>
    <w:p>
      <w:pPr>
        <w:pStyle w:val="TextBody"/>
        <w:bidi w:val="0"/>
        <w:spacing w:before="240" w:after="283"/>
        <w:jc w:val="both"/>
        <w:rPr/>
      </w:pPr>
      <w:r>
        <w:rPr>
          <w:color w:val="000000"/>
        </w:rPr>
        <w:t>“</w:t>
      </w:r>
      <w:r>
        <w:rPr>
          <w:rFonts w:ascii="Times New Roman" w:hAnsi="Times New Roman"/>
          <w:color w:val="000000"/>
          <w:sz w:val="24"/>
          <w:u w:val="single"/>
        </w:rPr>
        <w:t>Sterling</w:t>
      </w:r>
      <w:r>
        <w:rPr>
          <w:rFonts w:ascii="Times New Roman" w:hAnsi="Times New Roman"/>
          <w:color w:val="000000"/>
          <w:sz w:val="24"/>
        </w:rPr>
        <w:t>” or “</w:t>
      </w:r>
      <w:r>
        <w:rPr>
          <w:rFonts w:ascii="Times New Roman" w:hAnsi="Times New Roman"/>
          <w:color w:val="000000"/>
          <w:sz w:val="24"/>
          <w:u w:val="single"/>
        </w:rPr>
        <w:t>£</w:t>
      </w:r>
      <w:r>
        <w:rPr>
          <w:rFonts w:ascii="Times New Roman" w:hAnsi="Times New Roman"/>
          <w:color w:val="000000"/>
          <w:sz w:val="24"/>
        </w:rPr>
        <w:t>” means pounds sterling, the official currency of the United Kingdom.</w:t>
      </w:r>
    </w:p>
    <w:p>
      <w:pPr>
        <w:pStyle w:val="TextBody"/>
        <w:bidi w:val="0"/>
        <w:spacing w:before="240" w:after="283"/>
        <w:jc w:val="both"/>
        <w:rPr/>
      </w:pPr>
      <w:r>
        <w:rPr>
          <w:color w:val="000000"/>
        </w:rPr>
        <w:t>“</w:t>
      </w:r>
      <w:r>
        <w:rPr>
          <w:rFonts w:ascii="Times New Roman" w:hAnsi="Times New Roman"/>
          <w:color w:val="000000"/>
          <w:sz w:val="24"/>
          <w:u w:val="single"/>
        </w:rPr>
        <w:t>Sterling Sublimit</w:t>
      </w:r>
      <w:r>
        <w:rPr>
          <w:rFonts w:ascii="Times New Roman" w:hAnsi="Times New Roman"/>
          <w:color w:val="000000"/>
          <w:sz w:val="24"/>
        </w:rPr>
        <w:t>” means, in relation to any Capital denominated in Sterling, up to £10,000,000.</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Structuring Agent</w:t>
      </w:r>
      <w:r>
        <w:rPr>
          <w:rFonts w:ascii="Times New Roman" w:hAnsi="Times New Roman"/>
          <w:color w:val="000000"/>
          <w:sz w:val="24"/>
        </w:rPr>
        <w:t>” means Bank of America.</w:t>
      </w:r>
    </w:p>
    <w:p>
      <w:pPr>
        <w:pStyle w:val="TextBody"/>
        <w:bidi w:val="0"/>
        <w:spacing w:before="240" w:after="283"/>
        <w:jc w:val="both"/>
        <w:rPr/>
      </w:pPr>
      <w:r>
        <w:rPr>
          <w:color w:val="000000"/>
        </w:rPr>
        <w:t>“</w:t>
      </w:r>
      <w:r>
        <w:rPr>
          <w:rFonts w:ascii="Times New Roman" w:hAnsi="Times New Roman"/>
          <w:color w:val="000000"/>
          <w:sz w:val="24"/>
          <w:u w:val="single"/>
        </w:rPr>
        <w:t>Sub-Servicer</w:t>
      </w:r>
      <w:r>
        <w:rPr>
          <w:rFonts w:ascii="Times New Roman" w:hAnsi="Times New Roman"/>
          <w:color w:val="000000"/>
          <w:sz w:val="24"/>
        </w:rPr>
        <w:t xml:space="preserve">” has the meaning set forth in </w:t>
      </w:r>
      <w:r>
        <w:rPr>
          <w:rFonts w:ascii="Times New Roman" w:hAnsi="Times New Roman"/>
          <w:color w:val="000000"/>
          <w:sz w:val="24"/>
          <w:u w:val="single"/>
        </w:rPr>
        <w:t>Section 6.01(e)</w:t>
      </w:r>
      <w:r>
        <w:rPr>
          <w:rFonts w:ascii="Times New Roman" w:hAnsi="Times New Roman"/>
          <w:color w:val="000000"/>
          <w:sz w:val="24"/>
        </w:rPr>
        <w:t xml:space="preserve"> of the Receivables Purchase Agreement.</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Sub-Servicing Agreement</w:t>
      </w:r>
      <w:r>
        <w:rPr>
          <w:rFonts w:ascii="Times New Roman" w:hAnsi="Times New Roman"/>
          <w:color w:val="000000"/>
          <w:sz w:val="24"/>
        </w:rPr>
        <w:t>” means the sub-servicing agreement, entered into between the Servicer, the French Originator, the German Originator, the Italian Originator, the Singaporean Originator, the Spanish Originator, the Swiss Originator, the UK Originator and the Administrative Agent dated on or about the Closing Date.</w:t>
      </w:r>
    </w:p>
    <w:p>
      <w:pPr>
        <w:pStyle w:val="TextBody"/>
        <w:bidi w:val="0"/>
        <w:spacing w:before="240" w:after="283"/>
        <w:jc w:val="both"/>
        <w:rPr/>
      </w:pPr>
      <w:r>
        <w:rPr>
          <w:color w:val="000000"/>
        </w:rPr>
        <w:t>“</w:t>
      </w:r>
      <w:r>
        <w:rPr>
          <w:rFonts w:ascii="Times New Roman" w:hAnsi="Times New Roman"/>
          <w:color w:val="000000"/>
          <w:sz w:val="24"/>
          <w:u w:val="single"/>
        </w:rPr>
        <w:t>Successor Rate</w:t>
      </w:r>
      <w:r>
        <w:rPr>
          <w:rFonts w:ascii="Times New Roman" w:hAnsi="Times New Roman"/>
          <w:color w:val="000000"/>
          <w:sz w:val="24"/>
        </w:rPr>
        <w:t xml:space="preserve">” has the meaning set forth in </w:t>
      </w:r>
      <w:r>
        <w:rPr>
          <w:rFonts w:ascii="Times New Roman" w:hAnsi="Times New Roman"/>
          <w:color w:val="000000"/>
          <w:sz w:val="24"/>
          <w:u w:val="single"/>
        </w:rPr>
        <w:t>Section 4.05(c)</w:t>
      </w:r>
      <w:r>
        <w:rPr>
          <w:rFonts w:ascii="Times New Roman" w:hAnsi="Times New Roman"/>
          <w:color w:val="000000"/>
          <w:sz w:val="24"/>
        </w:rPr>
        <w:t xml:space="preserve"> of the Receivables Purchase Agreement.</w:t>
      </w:r>
    </w:p>
    <w:p>
      <w:pPr>
        <w:pStyle w:val="TextBody"/>
        <w:bidi w:val="0"/>
        <w:spacing w:before="240" w:after="283"/>
        <w:jc w:val="both"/>
        <w:rPr/>
      </w:pPr>
      <w:r>
        <w:rPr>
          <w:color w:val="000000"/>
        </w:rPr>
        <w:t>“</w:t>
      </w:r>
      <w:r>
        <w:rPr>
          <w:rFonts w:ascii="Times New Roman" w:hAnsi="Times New Roman"/>
          <w:color w:val="000000"/>
          <w:sz w:val="24"/>
          <w:u w:val="single"/>
        </w:rPr>
        <w:t>Subordinated Lender</w:t>
      </w:r>
      <w:r>
        <w:rPr>
          <w:rFonts w:ascii="Times New Roman" w:hAnsi="Times New Roman"/>
          <w:color w:val="000000"/>
          <w:sz w:val="24"/>
        </w:rPr>
        <w:t>” means the German Originator.</w:t>
      </w:r>
    </w:p>
    <w:p>
      <w:pPr>
        <w:pStyle w:val="TextBody"/>
        <w:bidi w:val="0"/>
        <w:spacing w:before="240" w:after="283"/>
        <w:jc w:val="both"/>
        <w:rPr/>
      </w:pPr>
      <w:r>
        <w:rPr>
          <w:color w:val="000000"/>
        </w:rPr>
        <w:t>“</w:t>
      </w:r>
      <w:r>
        <w:rPr>
          <w:rFonts w:ascii="Times New Roman" w:hAnsi="Times New Roman"/>
          <w:color w:val="000000"/>
          <w:sz w:val="24"/>
          <w:u w:val="single"/>
        </w:rPr>
        <w:t>Subordinated Loan</w:t>
      </w:r>
      <w:r>
        <w:rPr>
          <w:rFonts w:ascii="Times New Roman" w:hAnsi="Times New Roman"/>
          <w:color w:val="000000"/>
          <w:sz w:val="24"/>
        </w:rPr>
        <w:t>” has the meaning set forth in the Subordinated Loan Agreement. “</w:t>
      </w:r>
      <w:r>
        <w:rPr>
          <w:rFonts w:ascii="Times New Roman" w:hAnsi="Times New Roman"/>
          <w:color w:val="000000"/>
          <w:sz w:val="24"/>
          <w:u w:val="single"/>
        </w:rPr>
        <w:t>Subordinated Loan Agreement</w:t>
      </w:r>
      <w:r>
        <w:rPr>
          <w:rFonts w:ascii="Times New Roman" w:hAnsi="Times New Roman"/>
          <w:color w:val="000000"/>
          <w:sz w:val="24"/>
        </w:rPr>
        <w:t>” means the subordinated loan agreement between the German Originator and the Seller dated the Closing Date.</w:t>
      </w:r>
    </w:p>
    <w:p>
      <w:pPr>
        <w:pStyle w:val="TextBody"/>
        <w:bidi w:val="0"/>
        <w:spacing w:before="240" w:after="283"/>
        <w:jc w:val="both"/>
        <w:rPr/>
      </w:pPr>
      <w:r>
        <w:rPr>
          <w:color w:val="000000"/>
        </w:rPr>
        <w:t>“</w:t>
      </w:r>
      <w:r>
        <w:rPr>
          <w:rFonts w:ascii="Times New Roman" w:hAnsi="Times New Roman"/>
          <w:color w:val="000000"/>
          <w:sz w:val="24"/>
          <w:u w:val="single"/>
        </w:rPr>
        <w:t>Subsidiary</w:t>
      </w:r>
      <w:r>
        <w:rPr>
          <w:rFonts w:ascii="Times New Roman" w:hAnsi="Times New Roman"/>
          <w:color w:val="000000"/>
          <w:sz w:val="24"/>
        </w:rPr>
        <w:t>” means, as to any Person, a corporation, partnership, limited liability company or other entity of which shares of stock of each class or other interests having ordinary voting power (other than stock or other interests having such power only by reason of the happening of a contingency) to elect a majority of the Board of Directors or other managers of such entity are at the time owned, or management of which is otherwise controlled: (a) by such Person, (b) by one or more Subsidiaries of such Person or (c) by such Person and one or more Subsidiaries of such Person.</w:t>
      </w:r>
    </w:p>
    <w:p>
      <w:pPr>
        <w:pStyle w:val="TextBody"/>
        <w:bidi w:val="0"/>
        <w:spacing w:before="240" w:after="283"/>
        <w:jc w:val="both"/>
        <w:rPr/>
      </w:pPr>
      <w:r>
        <w:rPr>
          <w:color w:val="000000"/>
        </w:rPr>
        <w:t>“</w:t>
      </w:r>
      <w:r>
        <w:rPr>
          <w:rFonts w:ascii="Times New Roman" w:hAnsi="Times New Roman"/>
          <w:color w:val="000000"/>
          <w:sz w:val="24"/>
          <w:u w:val="single"/>
        </w:rPr>
        <w:t>Swiss Collection Account Declaration of Trust</w:t>
      </w:r>
      <w:r>
        <w:rPr>
          <w:rFonts w:ascii="Times New Roman" w:hAnsi="Times New Roman"/>
          <w:color w:val="000000"/>
          <w:sz w:val="24"/>
        </w:rPr>
        <w:t>” means an English law declaration of trust, dated as of the Closing Date, between the Swiss Originator, the Administrative Agent and the Seller.</w:t>
      </w:r>
    </w:p>
    <w:p>
      <w:pPr>
        <w:pStyle w:val="TextBody"/>
        <w:bidi w:val="0"/>
        <w:spacing w:before="240" w:after="283"/>
        <w:jc w:val="both"/>
        <w:rPr/>
      </w:pPr>
      <w:r>
        <w:rPr>
          <w:color w:val="000000"/>
        </w:rPr>
        <w:t>“</w:t>
      </w:r>
      <w:r>
        <w:rPr>
          <w:rFonts w:ascii="Times New Roman" w:hAnsi="Times New Roman"/>
          <w:color w:val="000000"/>
          <w:sz w:val="24"/>
          <w:u w:val="single"/>
        </w:rPr>
        <w:t>Swiss Collection Account Pledge Agreement</w:t>
      </w:r>
      <w:r>
        <w:rPr>
          <w:rFonts w:ascii="Times New Roman" w:hAnsi="Times New Roman"/>
          <w:color w:val="000000"/>
          <w:sz w:val="24"/>
        </w:rPr>
        <w:t xml:space="preserve">” means, with respect to any Collection Account in Switzerland, any </w:t>
      </w:r>
      <w:r>
        <w:rPr>
          <w:rFonts w:ascii="Times New Roman" w:hAnsi="Times New Roman"/>
          <w:i/>
          <w:color w:val="000000"/>
          <w:sz w:val="24"/>
        </w:rPr>
        <w:t>in</w:t>
      </w:r>
      <w:r>
        <w:rPr>
          <w:rFonts w:ascii="Times New Roman" w:hAnsi="Times New Roman"/>
          <w:color w:val="000000"/>
          <w:sz w:val="24"/>
        </w:rPr>
        <w:t xml:space="preserve"> </w:t>
      </w:r>
      <w:r>
        <w:rPr>
          <w:rFonts w:ascii="Times New Roman" w:hAnsi="Times New Roman"/>
          <w:i/>
          <w:color w:val="000000"/>
          <w:sz w:val="24"/>
        </w:rPr>
        <w:t>rem</w:t>
      </w:r>
      <w:r>
        <w:rPr>
          <w:rFonts w:ascii="Times New Roman" w:hAnsi="Times New Roman"/>
          <w:color w:val="000000"/>
          <w:sz w:val="24"/>
        </w:rPr>
        <w:t xml:space="preserve"> security in the form of a pledge agreement or an assignment for security purpose entered into either (i) by any Originator as pledgor and the Seller as pledgee or (ii) the Seller as pledgor and the Administrative Agent as pledgee.</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Swiss Purchase and Sale Agreement</w:t>
      </w:r>
      <w:r>
        <w:rPr>
          <w:rFonts w:ascii="Times New Roman" w:hAnsi="Times New Roman"/>
          <w:color w:val="000000"/>
          <w:sz w:val="24"/>
        </w:rPr>
        <w:t>” means the Swiss law purchase and sale agreement dated as of the Closing Date, between the Swiss Originator, the German Originator, the Servicer and the Seller.</w:t>
      </w:r>
    </w:p>
    <w:p>
      <w:pPr>
        <w:pStyle w:val="TextBody"/>
        <w:bidi w:val="0"/>
        <w:spacing w:before="240" w:after="283"/>
        <w:jc w:val="left"/>
        <w:rPr/>
      </w:pPr>
      <w:r>
        <w:rPr>
          <w:color w:val="000000"/>
        </w:rPr>
        <w:t>“</w:t>
      </w:r>
      <w:r>
        <w:rPr>
          <w:rFonts w:ascii="Times New Roman" w:hAnsi="Times New Roman"/>
          <w:color w:val="000000"/>
          <w:sz w:val="24"/>
          <w:u w:val="single"/>
        </w:rPr>
        <w:t>Swiss Withholding Tax</w:t>
      </w:r>
      <w:r>
        <w:rPr>
          <w:rFonts w:ascii="Times New Roman" w:hAnsi="Times New Roman"/>
          <w:color w:val="000000"/>
          <w:sz w:val="24"/>
        </w:rPr>
        <w:t>” means any taxes imposed under the Swiss Withholding Tax Act.</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Swiss Withholding Tax Act</w:t>
      </w:r>
      <w:r>
        <w:rPr>
          <w:rFonts w:ascii="Times New Roman" w:hAnsi="Times New Roman"/>
          <w:color w:val="000000"/>
          <w:sz w:val="24"/>
        </w:rPr>
        <w:t>" means the Swiss Federal Act on Withholding Tax of 13 October 1965 (</w:t>
      </w:r>
      <w:r>
        <w:rPr>
          <w:rFonts w:ascii="Times New Roman" w:hAnsi="Times New Roman"/>
          <w:i/>
          <w:color w:val="000000"/>
          <w:sz w:val="24"/>
        </w:rPr>
        <w:t>Bundesgesetz über die Verrechnungssteuer</w:t>
      </w:r>
      <w:r>
        <w:rPr>
          <w:rFonts w:ascii="Times New Roman" w:hAnsi="Times New Roman"/>
          <w:color w:val="000000"/>
          <w:sz w:val="24"/>
        </w:rPr>
        <w:t>), together with the related ordinances, regulations and guidelines, as amended from time to time.</w:t>
      </w:r>
    </w:p>
    <w:p>
      <w:pPr>
        <w:pStyle w:val="TextBody"/>
        <w:bidi w:val="0"/>
        <w:spacing w:before="240" w:after="283"/>
        <w:jc w:val="both"/>
        <w:rPr/>
      </w:pPr>
      <w:r>
        <w:rPr>
          <w:color w:val="000000"/>
        </w:rPr>
        <w:t>“</w:t>
      </w:r>
      <w:r>
        <w:rPr>
          <w:rFonts w:ascii="Times New Roman" w:hAnsi="Times New Roman"/>
          <w:color w:val="000000"/>
          <w:sz w:val="24"/>
          <w:u w:val="single"/>
        </w:rPr>
        <w:t>T2</w:t>
      </w:r>
      <w:r>
        <w:rPr>
          <w:rFonts w:ascii="Times New Roman" w:hAnsi="Times New Roman"/>
          <w:color w:val="000000"/>
          <w:sz w:val="24"/>
        </w:rPr>
        <w:t>” means the real time gross settlement system operated by the Eurosystem, or any successor system.</w:t>
      </w:r>
    </w:p>
    <w:p>
      <w:pPr>
        <w:pStyle w:val="TextBody"/>
        <w:bidi w:val="0"/>
        <w:spacing w:before="240" w:after="283"/>
        <w:jc w:val="both"/>
        <w:rPr/>
      </w:pPr>
      <w:r>
        <w:rPr>
          <w:color w:val="000000"/>
        </w:rPr>
        <w:t>“</w:t>
      </w:r>
      <w:r>
        <w:rPr>
          <w:rFonts w:ascii="Times New Roman" w:hAnsi="Times New Roman"/>
          <w:color w:val="000000"/>
          <w:sz w:val="24"/>
          <w:u w:val="single"/>
        </w:rPr>
        <w:t>TARGET Day</w:t>
      </w:r>
      <w:r>
        <w:rPr>
          <w:rFonts w:ascii="Times New Roman" w:hAnsi="Times New Roman"/>
          <w:color w:val="000000"/>
          <w:sz w:val="24"/>
        </w:rPr>
        <w:t>” means any day on which T2 is open for the settlement of payments in Euro.</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Taxes</w:t>
      </w:r>
      <w:r>
        <w:rPr>
          <w:rFonts w:ascii="Times New Roman" w:hAnsi="Times New Roman"/>
          <w:color w:val="000000"/>
          <w:sz w:val="24"/>
        </w:rPr>
        <w:t>” means any and all present or future taxes, levies, imposts, duties, deductions, charges, withholdings (including backup withholding), assessments, fees or other charges imposed by any Governmental Authority and all interest, penalties, additions to tax and any similar liabilities with respect thereto.</w:t>
      </w:r>
    </w:p>
    <w:p>
      <w:pPr>
        <w:pStyle w:val="TextBody"/>
        <w:bidi w:val="0"/>
        <w:spacing w:before="240" w:after="283"/>
        <w:jc w:val="both"/>
        <w:rPr/>
      </w:pPr>
      <w:r>
        <w:rPr>
          <w:color w:val="000000"/>
        </w:rPr>
        <w:t>“</w:t>
      </w:r>
      <w:r>
        <w:rPr>
          <w:rFonts w:ascii="Times New Roman" w:hAnsi="Times New Roman"/>
          <w:color w:val="000000"/>
          <w:sz w:val="24"/>
          <w:u w:val="single"/>
        </w:rPr>
        <w:t>Term SOFR Administrator</w:t>
      </w:r>
      <w:r>
        <w:rPr>
          <w:rFonts w:ascii="Times New Roman" w:hAnsi="Times New Roman"/>
          <w:color w:val="000000"/>
          <w:sz w:val="24"/>
        </w:rPr>
        <w:t>” means CME Group Benchmark Administration Limited (CBA) (or a successor administrator of the Term SOFR Reference Rate selected by the Administrative Agent in its reasonable discretion).</w:t>
      </w:r>
    </w:p>
    <w:p>
      <w:pPr>
        <w:pStyle w:val="TextBody"/>
        <w:bidi w:val="0"/>
        <w:spacing w:before="240" w:after="283"/>
        <w:jc w:val="both"/>
        <w:rPr/>
      </w:pPr>
      <w:r>
        <w:rPr>
          <w:color w:val="000000"/>
        </w:rPr>
        <w:t>“</w:t>
      </w:r>
      <w:r>
        <w:rPr>
          <w:rFonts w:ascii="Times New Roman" w:hAnsi="Times New Roman"/>
          <w:color w:val="000000"/>
          <w:sz w:val="24"/>
          <w:u w:val="single"/>
        </w:rPr>
        <w:t>Term SOFR Reference Rate</w:t>
      </w:r>
      <w:r>
        <w:rPr>
          <w:rFonts w:ascii="Times New Roman" w:hAnsi="Times New Roman"/>
          <w:color w:val="000000"/>
          <w:sz w:val="24"/>
        </w:rPr>
        <w:t>” shall mean the forward-looking term rate based on SOFR.</w:t>
      </w:r>
    </w:p>
    <w:p>
      <w:pPr>
        <w:pStyle w:val="TextBody"/>
        <w:bidi w:val="0"/>
        <w:spacing w:before="240" w:after="283"/>
        <w:jc w:val="both"/>
        <w:rPr/>
      </w:pPr>
      <w:r>
        <w:rPr>
          <w:color w:val="000000"/>
        </w:rPr>
        <w:t>“</w:t>
      </w:r>
      <w:r>
        <w:rPr>
          <w:rFonts w:ascii="Times New Roman" w:hAnsi="Times New Roman"/>
          <w:color w:val="000000"/>
          <w:sz w:val="24"/>
          <w:u w:val="single"/>
        </w:rPr>
        <w:t>Termination Date</w:t>
      </w:r>
      <w:r>
        <w:rPr>
          <w:rFonts w:ascii="Times New Roman" w:hAnsi="Times New Roman"/>
          <w:color w:val="000000"/>
          <w:sz w:val="24"/>
        </w:rPr>
        <w:t xml:space="preserve">” means the earliest to occur of (a) the Scheduled Termination Date, (b) the date on which the “Termination Date” is declared or deemed to have occurred under </w:t>
      </w:r>
      <w:r>
        <w:rPr>
          <w:rFonts w:ascii="Times New Roman" w:hAnsi="Times New Roman"/>
          <w:color w:val="000000"/>
          <w:sz w:val="24"/>
          <w:u w:val="single"/>
        </w:rPr>
        <w:t>Section 7.01</w:t>
      </w:r>
      <w:r>
        <w:rPr>
          <w:rFonts w:ascii="Times New Roman" w:hAnsi="Times New Roman"/>
          <w:color w:val="000000"/>
          <w:sz w:val="24"/>
        </w:rPr>
        <w:t xml:space="preserve"> of the Receivables Purchase Agreement and (c) the date selected by the Seller on which all Commitments have been reduced to zero pursuant to </w:t>
      </w:r>
      <w:r>
        <w:rPr>
          <w:rFonts w:ascii="Times New Roman" w:hAnsi="Times New Roman"/>
          <w:color w:val="000000"/>
          <w:sz w:val="24"/>
          <w:u w:val="single"/>
        </w:rPr>
        <w:t>Section 2.02(d)</w:t>
      </w:r>
      <w:r>
        <w:rPr>
          <w:rFonts w:ascii="Times New Roman" w:hAnsi="Times New Roman"/>
          <w:color w:val="000000"/>
          <w:sz w:val="24"/>
        </w:rPr>
        <w:t xml:space="preserve"> of the Receivables Purchase Agreement.</w:t>
      </w:r>
    </w:p>
    <w:p>
      <w:pPr>
        <w:pStyle w:val="TextBody"/>
        <w:bidi w:val="0"/>
        <w:spacing w:before="240" w:after="283"/>
        <w:jc w:val="both"/>
        <w:rPr/>
      </w:pPr>
      <w:r>
        <w:rPr>
          <w:color w:val="000000"/>
        </w:rPr>
        <w:t>“</w:t>
      </w:r>
      <w:r>
        <w:rPr>
          <w:rFonts w:ascii="Times New Roman" w:hAnsi="Times New Roman"/>
          <w:color w:val="000000"/>
          <w:sz w:val="24"/>
          <w:u w:val="single"/>
        </w:rPr>
        <w:t>Total Reserves</w:t>
      </w:r>
      <w:r>
        <w:rPr>
          <w:rFonts w:ascii="Times New Roman" w:hAnsi="Times New Roman"/>
          <w:color w:val="000000"/>
          <w:sz w:val="24"/>
        </w:rPr>
        <w:t xml:space="preserve">” means, at any time of determination, an amount equal to the product of (A) the Net Receivables Pool Balance at such time and (B) the greater of (a) 12.0% and (b) the sum of: (x) the Yield and Servicing Reserve Percentage, (y) the greater of (I) the sum of the Concentration Reserve Percentage </w:t>
      </w:r>
      <w:r>
        <w:rPr>
          <w:rFonts w:ascii="Times New Roman" w:hAnsi="Times New Roman"/>
          <w:color w:val="000000"/>
          <w:sz w:val="24"/>
          <w:u w:val="single"/>
        </w:rPr>
        <w:t>plus</w:t>
      </w:r>
      <w:r>
        <w:rPr>
          <w:rFonts w:ascii="Times New Roman" w:hAnsi="Times New Roman"/>
          <w:color w:val="000000"/>
          <w:sz w:val="24"/>
        </w:rPr>
        <w:t xml:space="preserve"> the Minimum Dilution Reserve Percentage and (II) the sum of the Loss Reserve Percentage </w:t>
      </w:r>
      <w:r>
        <w:rPr>
          <w:rFonts w:ascii="Times New Roman" w:hAnsi="Times New Roman"/>
          <w:color w:val="000000"/>
          <w:sz w:val="24"/>
          <w:u w:val="single"/>
        </w:rPr>
        <w:t>plus</w:t>
      </w:r>
      <w:r>
        <w:rPr>
          <w:rFonts w:ascii="Times New Roman" w:hAnsi="Times New Roman"/>
          <w:color w:val="000000"/>
          <w:sz w:val="24"/>
        </w:rPr>
        <w:t xml:space="preserve"> the Dilution Reserve Percentage, each as in effect at such time.</w:t>
      </w:r>
    </w:p>
    <w:p>
      <w:pPr>
        <w:pStyle w:val="TextBody"/>
        <w:bidi w:val="0"/>
        <w:spacing w:before="240" w:after="283"/>
        <w:jc w:val="both"/>
        <w:rPr/>
      </w:pPr>
      <w:r>
        <w:rPr>
          <w:color w:val="000000"/>
        </w:rPr>
        <w:t>“</w:t>
      </w:r>
      <w:r>
        <w:rPr>
          <w:rFonts w:ascii="Times New Roman" w:hAnsi="Times New Roman"/>
          <w:color w:val="000000"/>
          <w:sz w:val="24"/>
          <w:u w:val="single"/>
        </w:rPr>
        <w:t>Transaction Documents</w:t>
      </w:r>
      <w:r>
        <w:rPr>
          <w:rFonts w:ascii="Times New Roman" w:hAnsi="Times New Roman"/>
          <w:color w:val="000000"/>
          <w:sz w:val="24"/>
        </w:rPr>
        <w:t>” means this Agreement, the Receivables Purchase Agreement, each Purchase and Sale Agreement, the JPM Account Control Agreement, each Collection Account Declaration of Trust, each Collection Account Pledge Agreement, the Prior Fee Letter, the 2026 Fee Letter, the UK Security Agreement, the Intercompany Loan Agreement, the Subordinated Loan Agreement, the Performance Guarantee, the Seller Share Charge, the Sub-Servicing Agreement and all other certificates, instruments, reports, notices, agreements and documents executed or delivered under or in connection with this Agreement.</w:t>
      </w:r>
    </w:p>
    <w:p>
      <w:pPr>
        <w:pStyle w:val="TextBody"/>
        <w:bidi w:val="0"/>
        <w:spacing w:before="240" w:after="283"/>
        <w:jc w:val="both"/>
        <w:rPr/>
      </w:pPr>
      <w:r>
        <w:rPr>
          <w:color w:val="000000"/>
        </w:rPr>
        <w:t>“</w:t>
      </w:r>
      <w:r>
        <w:rPr>
          <w:rFonts w:ascii="Times New Roman" w:hAnsi="Times New Roman"/>
          <w:color w:val="000000"/>
          <w:sz w:val="24"/>
          <w:u w:val="single"/>
        </w:rPr>
        <w:t>Transaction Information</w:t>
      </w:r>
      <w:r>
        <w:rPr>
          <w:rFonts w:ascii="Times New Roman" w:hAnsi="Times New Roman"/>
          <w:color w:val="000000"/>
          <w:sz w:val="24"/>
        </w:rPr>
        <w:t>” means any information provided to any Rating Agency, in each case, to the extent related to such Rating Agency providing or proposing to provide a rating of any Commercial Paper or monitoring such rating including, without limitation, information in connection with the Seller, the Originator, the Servicer or the Receivables.</w:t>
      </w:r>
    </w:p>
    <w:p>
      <w:pPr>
        <w:pStyle w:val="TextBody"/>
        <w:bidi w:val="0"/>
        <w:spacing w:before="240" w:after="283"/>
        <w:jc w:val="both"/>
        <w:rPr/>
      </w:pPr>
      <w:r>
        <w:rPr>
          <w:color w:val="000000"/>
        </w:rPr>
        <w:t>“</w:t>
      </w:r>
      <w:r>
        <w:rPr>
          <w:rFonts w:ascii="Times New Roman" w:hAnsi="Times New Roman"/>
          <w:color w:val="000000"/>
          <w:sz w:val="24"/>
          <w:u w:val="single"/>
        </w:rPr>
        <w:t>Transparency Requirements</w:t>
      </w:r>
      <w:r>
        <w:rPr>
          <w:rFonts w:ascii="Times New Roman" w:hAnsi="Times New Roman"/>
          <w:color w:val="000000"/>
          <w:sz w:val="24"/>
        </w:rPr>
        <w:t>” means the requirements set out at Article 7 of the EU Securitisation Regulations, together with any regulatory technical standards, implementing technical standards and official guidance relating to Article 7 of the EU Securitisation Regulations as may be published from time to time.</w:t>
      </w:r>
    </w:p>
    <w:p>
      <w:pPr>
        <w:pStyle w:val="TextBody"/>
        <w:bidi w:val="0"/>
        <w:spacing w:before="240" w:after="283"/>
        <w:jc w:val="both"/>
        <w:rPr/>
      </w:pPr>
      <w:r>
        <w:rPr>
          <w:color w:val="000000"/>
        </w:rPr>
        <w:t>“</w:t>
      </w:r>
      <w:r>
        <w:rPr>
          <w:rFonts w:ascii="Times New Roman" w:hAnsi="Times New Roman"/>
          <w:color w:val="000000"/>
          <w:sz w:val="24"/>
          <w:u w:val="single"/>
        </w:rPr>
        <w:t>Unmatured Event of Termination</w:t>
      </w:r>
      <w:r>
        <w:rPr>
          <w:rFonts w:ascii="Times New Roman" w:hAnsi="Times New Roman"/>
          <w:color w:val="000000"/>
          <w:sz w:val="24"/>
        </w:rPr>
        <w:t>” means an event that but for notice or lapse of time or both would constitute an Event of Termination.</w:t>
      </w:r>
    </w:p>
    <w:p>
      <w:pPr>
        <w:pStyle w:val="TextBody"/>
        <w:bidi w:val="0"/>
        <w:spacing w:before="240" w:after="283"/>
        <w:jc w:val="both"/>
        <w:rPr/>
      </w:pPr>
      <w:r>
        <w:rPr>
          <w:color w:val="000000"/>
        </w:rPr>
        <w:t>“</w:t>
      </w:r>
      <w:r>
        <w:rPr>
          <w:rFonts w:ascii="Times New Roman" w:hAnsi="Times New Roman"/>
          <w:color w:val="000000"/>
          <w:sz w:val="24"/>
          <w:u w:val="single"/>
        </w:rPr>
        <w:t>Unsold Receivables</w:t>
      </w:r>
      <w:r>
        <w:rPr>
          <w:rFonts w:ascii="Times New Roman" w:hAnsi="Times New Roman"/>
          <w:color w:val="000000"/>
          <w:sz w:val="24"/>
        </w:rPr>
        <w:t>” means, at any time, all Pool Receivables that are not then Sold Receivables.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UK Collection Account Declaration of Trust</w:t>
      </w:r>
      <w:r>
        <w:rPr>
          <w:rFonts w:ascii="Times New Roman" w:hAnsi="Times New Roman"/>
          <w:color w:val="000000"/>
          <w:sz w:val="24"/>
        </w:rPr>
        <w:t>” means an English law declaration of trust, dated as of the Closing Date, between the UK Originator, the Administrative Agent and the Seller.</w:t>
      </w:r>
    </w:p>
    <w:p>
      <w:pPr>
        <w:pStyle w:val="TextBody"/>
        <w:bidi w:val="0"/>
        <w:spacing w:before="240" w:after="283"/>
        <w:jc w:val="both"/>
        <w:rPr/>
      </w:pPr>
      <w:r>
        <w:rPr>
          <w:color w:val="000000"/>
        </w:rPr>
        <w:t>“</w:t>
      </w:r>
      <w:r>
        <w:rPr>
          <w:rFonts w:ascii="Times New Roman" w:hAnsi="Times New Roman"/>
          <w:color w:val="000000"/>
          <w:sz w:val="24"/>
          <w:u w:val="single"/>
        </w:rPr>
        <w:t>UK Financial Institution</w:t>
      </w:r>
      <w:r>
        <w:rPr>
          <w:rFonts w:ascii="Times New Roman" w:hAnsi="Times New Roman"/>
          <w:color w:val="000000"/>
          <w:sz w:val="24"/>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UK Purchase and Sale Agreement</w:t>
      </w:r>
      <w:r>
        <w:rPr>
          <w:rFonts w:ascii="Times New Roman" w:hAnsi="Times New Roman"/>
          <w:color w:val="000000"/>
          <w:sz w:val="24"/>
        </w:rPr>
        <w:t>” means the English law purchase and sale agreement dated as of the Closing Date, between the UK Originator, the Servicer and the Seller.</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UK Receivable</w:t>
      </w:r>
      <w:r>
        <w:rPr>
          <w:rFonts w:ascii="Times New Roman" w:hAnsi="Times New Roman"/>
          <w:color w:val="000000"/>
          <w:sz w:val="24"/>
        </w:rPr>
        <w:t>” means any Receivable that is either (i) originated by the UK Originator or (ii) the Obligor of which is incorporated, organized or existing under the laws the United Kingdom.</w:t>
      </w:r>
    </w:p>
    <w:p>
      <w:pPr>
        <w:pStyle w:val="TextBody"/>
        <w:bidi w:val="0"/>
        <w:spacing w:before="240" w:after="283"/>
        <w:jc w:val="both"/>
        <w:rPr/>
      </w:pPr>
      <w:r>
        <w:rPr>
          <w:color w:val="000000"/>
        </w:rPr>
        <w:t>“</w:t>
      </w:r>
      <w:r>
        <w:rPr>
          <w:rFonts w:ascii="Times New Roman" w:hAnsi="Times New Roman"/>
          <w:color w:val="000000"/>
          <w:sz w:val="24"/>
          <w:u w:val="single"/>
        </w:rPr>
        <w:t>UK Resolution Authority</w:t>
      </w:r>
      <w:r>
        <w:rPr>
          <w:rFonts w:ascii="Times New Roman" w:hAnsi="Times New Roman"/>
          <w:color w:val="000000"/>
          <w:sz w:val="24"/>
        </w:rPr>
        <w:t>” means the Bank of England or any other public administrative authority having responsibility for the resolution of any UK Financial Institution.</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UK Securitisation Framework</w:t>
      </w:r>
      <w:r>
        <w:rPr>
          <w:rFonts w:ascii="Times New Roman" w:hAnsi="Times New Roman"/>
          <w:color w:val="000000"/>
          <w:sz w:val="24"/>
        </w:rPr>
        <w:t>” means the UK SR 2024, SECN and the PRA Securitisation Rules, together with the relevant provisions of the FSMA, each as in force on the Closing Date and as amended from time to time.</w:t>
      </w:r>
    </w:p>
    <w:p>
      <w:pPr>
        <w:pStyle w:val="TextBody"/>
        <w:bidi w:val="0"/>
        <w:spacing w:before="240" w:after="283"/>
        <w:jc w:val="both"/>
        <w:rPr/>
      </w:pPr>
      <w:r>
        <w:rPr>
          <w:color w:val="000000"/>
          <w:u w:val="single"/>
        </w:rPr>
        <w:t>“</w:t>
      </w:r>
      <w:r>
        <w:rPr>
          <w:rFonts w:ascii="Times New Roman" w:hAnsi="Times New Roman"/>
          <w:color w:val="000000"/>
          <w:sz w:val="24"/>
          <w:u w:val="single"/>
        </w:rPr>
        <w:t>UK SR 2024</w:t>
      </w:r>
      <w:r>
        <w:rPr>
          <w:rFonts w:ascii="Times New Roman" w:hAnsi="Times New Roman"/>
          <w:color w:val="000000"/>
          <w:sz w:val="24"/>
        </w:rPr>
        <w:t>” means the UK’s Securitisation Regulations 2024 (SI 2024/102), as amended.</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UK Security Agreement</w:t>
      </w:r>
      <w:r>
        <w:rPr>
          <w:rFonts w:ascii="Times New Roman" w:hAnsi="Times New Roman"/>
          <w:color w:val="000000"/>
          <w:sz w:val="24"/>
        </w:rPr>
        <w:t>” means the English law security agreement entered into on or around the date of this agreement between the Seller and the Administrative Agent.</w:t>
      </w:r>
    </w:p>
    <w:p>
      <w:pPr>
        <w:pStyle w:val="TextBody"/>
        <w:bidi w:val="0"/>
        <w:spacing w:before="240" w:after="283"/>
        <w:jc w:val="both"/>
        <w:rPr/>
      </w:pPr>
      <w:r>
        <w:rPr>
          <w:color w:val="000000"/>
        </w:rPr>
        <w:t>“</w:t>
      </w:r>
      <w:r>
        <w:rPr>
          <w:rFonts w:ascii="Times New Roman" w:hAnsi="Times New Roman"/>
          <w:color w:val="000000"/>
          <w:sz w:val="24"/>
          <w:u w:val="single"/>
        </w:rPr>
        <w:t>Ultra-High Risk Country</w:t>
      </w:r>
      <w:r>
        <w:rPr>
          <w:rFonts w:ascii="Times New Roman" w:hAnsi="Times New Roman"/>
          <w:color w:val="000000"/>
          <w:sz w:val="24"/>
        </w:rPr>
        <w:t>” means each of Sudan, Iran, Cuba, Syria and North Korea. “</w:t>
      </w:r>
      <w:r>
        <w:rPr>
          <w:rFonts w:ascii="Times New Roman" w:hAnsi="Times New Roman"/>
          <w:color w:val="000000"/>
          <w:sz w:val="24"/>
          <w:u w:val="single"/>
        </w:rPr>
        <w:t>U.S. Government Securities Business Day</w:t>
      </w:r>
      <w:r>
        <w:rPr>
          <w:rFonts w:ascii="Times New Roman" w:hAnsi="Times New Roman"/>
          <w:color w:val="000000"/>
          <w:sz w:val="24"/>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240" w:after="283"/>
        <w:jc w:val="both"/>
        <w:rPr/>
      </w:pPr>
      <w:r>
        <w:rPr>
          <w:color w:val="000000"/>
        </w:rPr>
        <w:t>“</w:t>
      </w:r>
      <w:r>
        <w:rPr>
          <w:rFonts w:ascii="Times New Roman" w:hAnsi="Times New Roman"/>
          <w:color w:val="000000"/>
          <w:sz w:val="24"/>
          <w:u w:val="single"/>
        </w:rPr>
        <w:t>U.S. Tax Compliance Certificate</w:t>
      </w:r>
      <w:r>
        <w:rPr>
          <w:rFonts w:ascii="Times New Roman" w:hAnsi="Times New Roman"/>
          <w:color w:val="000000"/>
          <w:sz w:val="24"/>
        </w:rPr>
        <w:t>” has the meaning set forth in Section 4.03(f)(ii)(B)(3) of the Receivables Purchase Agreement.</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VAT</w:t>
      </w:r>
      <w:r>
        <w:rPr>
          <w:rFonts w:ascii="Times New Roman" w:hAnsi="Times New Roman"/>
          <w:color w:val="000000"/>
          <w:sz w:val="24"/>
        </w:rPr>
        <w:t>" means: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any tax imposed in compliance with the Council Directive of 28 November 2006 on the common system of value added tax (EC Directive 2006/112);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any goods and services tax and any other tax of a similar nature, whether imposed in a member state of the European Union in substitution for, or levied in addition to, such tax referred to in clause (a) above, or imposed elsewhere.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Volcker Rule</w:t>
      </w:r>
      <w:r>
        <w:rPr>
          <w:rFonts w:ascii="Times New Roman" w:hAnsi="Times New Roman"/>
          <w:color w:val="000000"/>
          <w:sz w:val="24"/>
        </w:rPr>
        <w:t>” means Section 13 of the U.S. Bank Holding Company Act of 1956, as amended, and the applicable rules and regulations thereunder.</w:t>
      </w:r>
    </w:p>
    <w:p>
      <w:pPr>
        <w:pStyle w:val="TextBody"/>
        <w:bidi w:val="0"/>
        <w:spacing w:before="240" w:after="283"/>
        <w:jc w:val="both"/>
        <w:rPr/>
      </w:pPr>
      <w:r>
        <w:rPr>
          <w:color w:val="000000"/>
        </w:rPr>
        <w:t>“</w:t>
      </w:r>
      <w:r>
        <w:rPr>
          <w:rFonts w:ascii="Times New Roman" w:hAnsi="Times New Roman"/>
          <w:color w:val="000000"/>
          <w:sz w:val="24"/>
          <w:u w:val="single"/>
        </w:rPr>
        <w:t>Weekly Report</w:t>
      </w:r>
      <w:r>
        <w:rPr>
          <w:rFonts w:ascii="Times New Roman" w:hAnsi="Times New Roman"/>
          <w:color w:val="000000"/>
          <w:sz w:val="24"/>
        </w:rPr>
        <w:t xml:space="preserve">” means a report, in substantially the form of </w:t>
      </w:r>
      <w:r>
        <w:rPr>
          <w:rFonts w:ascii="Times New Roman" w:hAnsi="Times New Roman"/>
          <w:color w:val="000000"/>
          <w:sz w:val="24"/>
          <w:u w:val="single"/>
        </w:rPr>
        <w:t>Exhibit I</w:t>
      </w:r>
      <w:r>
        <w:rPr>
          <w:rFonts w:ascii="Times New Roman" w:hAnsi="Times New Roman"/>
          <w:color w:val="000000"/>
          <w:sz w:val="24"/>
        </w:rPr>
        <w:t xml:space="preserve"> of the Receivables Purchase Agreement.</w:t>
      </w:r>
    </w:p>
    <w:p>
      <w:pPr>
        <w:pStyle w:val="TextBody"/>
        <w:bidi w:val="0"/>
        <w:spacing w:before="240" w:after="283"/>
        <w:jc w:val="both"/>
        <w:rPr/>
      </w:pPr>
      <w:r>
        <w:rPr>
          <w:color w:val="000000"/>
        </w:rPr>
        <w:t>“</w:t>
      </w:r>
      <w:r>
        <w:rPr>
          <w:rFonts w:ascii="Times New Roman" w:hAnsi="Times New Roman"/>
          <w:color w:val="000000"/>
          <w:sz w:val="24"/>
          <w:u w:val="single"/>
        </w:rPr>
        <w:t>Write-Down and Conversion Powers</w:t>
      </w:r>
      <w:r>
        <w:rPr>
          <w:rFonts w:ascii="Times New Roman" w:hAnsi="Times New Roman"/>
          <w:color w:val="000000"/>
          <w:sz w:val="24"/>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240" w:after="283"/>
        <w:jc w:val="both"/>
        <w:rPr/>
      </w:pPr>
      <w:r>
        <w:rPr>
          <w:color w:val="000000"/>
        </w:rPr>
        <w:t>“</w:t>
      </w:r>
      <w:r>
        <w:rPr>
          <w:rFonts w:ascii="Times New Roman" w:hAnsi="Times New Roman"/>
          <w:color w:val="000000"/>
          <w:sz w:val="24"/>
          <w:u w:val="single"/>
        </w:rPr>
        <w:t>Yield</w:t>
      </w:r>
      <w:r>
        <w:rPr>
          <w:rFonts w:ascii="Times New Roman" w:hAnsi="Times New Roman"/>
          <w:color w:val="000000"/>
          <w:sz w:val="24"/>
        </w:rPr>
        <w:t xml:space="preserve">” means an amount payable to each Purchaser in respect of its Capital accruing on each day when such Purchaser has Capital outstanding, which amount for any Purchaser’s Capital (or portion thereof) for any day during any Yield Period (or portion thereof) is the amount accrued on such Capital (or portion thereof) during such Yield Period (or portion thereof) in accordance with </w:t>
      </w:r>
      <w:r>
        <w:rPr>
          <w:rFonts w:ascii="Times New Roman" w:hAnsi="Times New Roman"/>
          <w:color w:val="000000"/>
          <w:sz w:val="24"/>
          <w:u w:val="single"/>
        </w:rPr>
        <w:t>Section 2.03(b)</w:t>
      </w:r>
      <w:r>
        <w:rPr>
          <w:rFonts w:ascii="Times New Roman" w:hAnsi="Times New Roman"/>
          <w:color w:val="000000"/>
          <w:sz w:val="24"/>
        </w:rPr>
        <w:t xml:space="preserve"> of the Receivables Purchase Agreement.</w:t>
      </w:r>
    </w:p>
    <w:p>
      <w:pPr>
        <w:pStyle w:val="TextBody"/>
        <w:bidi w:val="0"/>
        <w:spacing w:before="240" w:after="283"/>
        <w:jc w:val="both"/>
        <w:rPr/>
      </w:pPr>
      <w:r>
        <w:rPr>
          <w:color w:val="000000"/>
        </w:rPr>
        <w:t>“</w:t>
      </w:r>
      <w:r>
        <w:rPr>
          <w:rFonts w:ascii="Times New Roman" w:hAnsi="Times New Roman"/>
          <w:color w:val="000000"/>
          <w:sz w:val="24"/>
          <w:u w:val="single"/>
        </w:rPr>
        <w:t>Yield Period</w:t>
      </w:r>
      <w:r>
        <w:rPr>
          <w:rFonts w:ascii="Times New Roman" w:hAnsi="Times New Roman"/>
          <w:color w:val="000000"/>
          <w:sz w:val="24"/>
        </w:rPr>
        <w:t xml:space="preserve">” means with respect to any Portion of Capital, (i) initially the period commencing on (and including) the date of the initial Investment with respect to such Portion of Capital and ending on (and including) the last day of the current Fiscal Month, and (ii) thereafter, each period commencing on (and including) the first day of each Fiscal Month and ending on (and including) the last day of each Fiscal Month; </w:t>
      </w:r>
      <w:r>
        <w:rPr>
          <w:rFonts w:ascii="Times New Roman" w:hAnsi="Times New Roman"/>
          <w:color w:val="000000"/>
          <w:sz w:val="24"/>
          <w:u w:val="single"/>
        </w:rPr>
        <w:t>provided</w:t>
      </w:r>
      <w:r>
        <w:rPr>
          <w:rFonts w:ascii="Times New Roman" w:hAnsi="Times New Roman"/>
          <w:color w:val="000000"/>
          <w:sz w:val="24"/>
        </w:rPr>
        <w:t xml:space="preserve">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in the case of any Yield Period with respect to any Portion of Capital that commences before the Termination Date and would otherwise end on a date occurring after the Termination Date, such Yield Period shall end on such Termination Date and the duration of each Yield Period which commences on or after the Termination Date shall be of such duration as shall be selected by such Group Agent;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any Yield Period in respect of which Yield is computed by reference to the CP Rate may be terminated at the election of, and upon notice thereof to the Seller by, the applicable Group Agent any time, in which case the Portion of Capital allocated to such terminated Yield Period shall be allocated to a new Yield Period commencing on (and including) the date of such termination and ending on (but excluding) the next following Settlement Date, and shall accrue Yield by reference to LMIR.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4"/>
          <w:u w:val="single"/>
        </w:rPr>
        <w:t>Yield Rate</w:t>
      </w:r>
      <w:r>
        <w:rPr>
          <w:rFonts w:ascii="Times New Roman" w:hAnsi="Times New Roman"/>
          <w:color w:val="000000"/>
          <w:sz w:val="24"/>
        </w:rPr>
        <w:t xml:space="preserve">” means, subject to </w:t>
      </w:r>
      <w:r>
        <w:rPr>
          <w:rFonts w:ascii="Times New Roman" w:hAnsi="Times New Roman"/>
          <w:color w:val="000000"/>
          <w:sz w:val="24"/>
          <w:u w:val="single"/>
        </w:rPr>
        <w:t>Section 2.03</w:t>
      </w:r>
      <w:r>
        <w:rPr>
          <w:rFonts w:ascii="Times New Roman" w:hAnsi="Times New Roman"/>
          <w:color w:val="000000"/>
          <w:sz w:val="24"/>
        </w:rPr>
        <w:t xml:space="preserve"> and </w:t>
      </w:r>
      <w:r>
        <w:rPr>
          <w:rFonts w:ascii="Times New Roman" w:hAnsi="Times New Roman"/>
          <w:color w:val="000000"/>
          <w:sz w:val="24"/>
          <w:u w:val="single"/>
        </w:rPr>
        <w:t>Section 4.05</w:t>
      </w:r>
      <w:r>
        <w:rPr>
          <w:rFonts w:ascii="Times New Roman" w:hAnsi="Times New Roman"/>
          <w:color w:val="000000"/>
          <w:sz w:val="24"/>
        </w:rPr>
        <w:t xml:space="preserve"> of the Receivables Purchase Agreement, for any day in any Yield Period for any Capital (or portion thereof):</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if no Event of Termination is then continuing and the Administrative Agent has not elected (in its sole discretion) for the Yield Rate for such Capital (or any Capital) to be determined pursuant to </w:t>
      </w:r>
      <w:r>
        <w:rPr>
          <w:rFonts w:ascii="Times New Roman" w:hAnsi="Times New Roman"/>
          <w:color w:val="000000"/>
          <w:sz w:val="24"/>
          <w:u w:val="single"/>
        </w:rPr>
        <w:t>clause (b)</w:t>
      </w:r>
      <w:r>
        <w:rPr>
          <w:rFonts w:ascii="Times New Roman" w:hAnsi="Times New Roman"/>
          <w:color w:val="000000"/>
          <w:sz w:val="24"/>
        </w:rPr>
        <w:t xml:space="preserve"> below, the Relevant Rate </w:t>
      </w:r>
      <w:r>
        <w:rPr>
          <w:rFonts w:ascii="Times New Roman" w:hAnsi="Times New Roman"/>
          <w:color w:val="000000"/>
          <w:sz w:val="24"/>
          <w:u w:val="single"/>
        </w:rPr>
        <w:t>plus</w:t>
      </w:r>
      <w:r>
        <w:rPr>
          <w:rFonts w:ascii="Times New Roman" w:hAnsi="Times New Roman"/>
          <w:color w:val="000000"/>
          <w:sz w:val="24"/>
        </w:rPr>
        <w:t xml:space="preserve"> any additional margin or spread agreed in the Fee Letter for such Yield Period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if an Event of Termination is then continuing and the Administrative Agent has elected (in its sole discretion) for the Yield Rate for such Capital (or any Capital) to be determined pursuant to this </w:t>
      </w:r>
      <w:r>
        <w:rPr>
          <w:rFonts w:ascii="Times New Roman" w:hAnsi="Times New Roman"/>
          <w:color w:val="000000"/>
          <w:sz w:val="24"/>
          <w:u w:val="single"/>
        </w:rPr>
        <w:t>clause (b)</w:t>
      </w:r>
      <w:r>
        <w:rPr>
          <w:rFonts w:ascii="Times New Roman" w:hAnsi="Times New Roman"/>
          <w:color w:val="000000"/>
          <w:sz w:val="24"/>
        </w:rPr>
        <w:t xml:space="preserve">, the greater of (x) the Relevant Rate and (y) the Base Rate for such day or such Yield Period (as applicable) (plus, in all circumstances, any additional margin or spread imposed pursuant to </w:t>
      </w:r>
      <w:r>
        <w:rPr>
          <w:rFonts w:ascii="Times New Roman" w:hAnsi="Times New Roman"/>
          <w:color w:val="000000"/>
          <w:sz w:val="24"/>
          <w:u w:val="single"/>
        </w:rPr>
        <w:t>Section 2.03(e)</w:t>
      </w:r>
      <w:r>
        <w:rPr>
          <w:rFonts w:ascii="Times New Roman" w:hAnsi="Times New Roman"/>
          <w:color w:val="000000"/>
          <w:sz w:val="24"/>
        </w:rPr>
        <w:t xml:space="preserve"> of the Receivables Purchase Agreement </w:t>
      </w:r>
      <w:r>
        <w:rPr>
          <w:rFonts w:ascii="Times New Roman" w:hAnsi="Times New Roman"/>
          <w:color w:val="000000"/>
          <w:sz w:val="24"/>
          <w:u w:val="single"/>
        </w:rPr>
        <w:t>plus</w:t>
      </w:r>
      <w:r>
        <w:rPr>
          <w:rFonts w:ascii="Times New Roman" w:hAnsi="Times New Roman"/>
          <w:color w:val="000000"/>
          <w:sz w:val="24"/>
        </w:rPr>
        <w:t xml:space="preserve"> any additional margin or spread agreed in the Fee Letter).</w:t>
      </w:r>
    </w:p>
    <w:p>
      <w:pPr>
        <w:pStyle w:val="TextBody"/>
        <w:bidi w:val="0"/>
        <w:spacing w:before="240" w:after="283"/>
        <w:jc w:val="both"/>
        <w:rPr/>
      </w:pPr>
      <w:r>
        <w:rPr>
          <w:color w:val="000000"/>
        </w:rPr>
        <w:t>“</w:t>
      </w:r>
      <w:r>
        <w:rPr>
          <w:rFonts w:ascii="Times New Roman" w:hAnsi="Times New Roman"/>
          <w:color w:val="000000"/>
          <w:sz w:val="24"/>
          <w:u w:val="single"/>
        </w:rPr>
        <w:t>Yield and Servicing Reserve Percentage</w:t>
      </w:r>
      <w:r>
        <w:rPr>
          <w:rFonts w:ascii="Times New Roman" w:hAnsi="Times New Roman"/>
          <w:color w:val="000000"/>
          <w:sz w:val="24"/>
        </w:rPr>
        <w:t>” means at any time of determination:</w:t>
      </w:r>
    </w:p>
    <w:p>
      <w:pPr>
        <w:pStyle w:val="TextBody"/>
        <w:bidi w:val="0"/>
        <w:jc w:val="left"/>
        <w:rPr/>
      </w:pPr>
      <w:r>
        <w:rPr/>
        <w:t> </w:t>
      </w:r>
    </w:p>
    <w:tbl>
      <w:tblPr>
        <w:tblW w:w="9728" w:type="dxa"/>
        <w:jc w:val="left"/>
        <w:tblInd w:w="0" w:type="dxa"/>
        <w:tblLayout w:type="fixed"/>
        <w:tblCellMar>
          <w:top w:w="28" w:type="dxa"/>
          <w:left w:w="28" w:type="dxa"/>
          <w:bottom w:w="28" w:type="dxa"/>
          <w:right w:w="28" w:type="dxa"/>
        </w:tblCellMar>
      </w:tblPr>
      <w:tblGrid>
        <w:gridCol w:w="816"/>
        <w:gridCol w:w="961"/>
        <w:gridCol w:w="7951"/>
      </w:tblGrid>
      <w:tr>
        <w:trPr/>
        <w:tc>
          <w:tcPr>
            <w:tcW w:w="81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7951" w:type="dxa"/>
            <w:tcBorders/>
            <w:vAlign w:val="center"/>
          </w:tcPr>
          <w:p>
            <w:pPr>
              <w:pStyle w:val="TableContents"/>
              <w:bidi w:val="0"/>
              <w:spacing w:before="0" w:after="283"/>
              <w:jc w:val="left"/>
              <w:rPr>
                <w:sz w:val="4"/>
                <w:szCs w:val="4"/>
              </w:rPr>
            </w:pPr>
            <w:r>
              <w:rPr>
                <w:sz w:val="4"/>
                <w:szCs w:val="4"/>
              </w:rPr>
            </w:r>
          </w:p>
        </w:tc>
      </w:tr>
      <w:tr>
        <w:trPr/>
        <w:tc>
          <w:tcPr>
            <w:tcW w:w="1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95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u w:val="single"/>
              </w:rPr>
            </w:pPr>
            <w:r>
              <w:rPr>
                <w:rFonts w:ascii="Times New Roman" w:hAnsi="Times New Roman"/>
                <w:color w:val="000000"/>
                <w:sz w:val="24"/>
                <w:u w:val="single"/>
              </w:rPr>
              <w:t>1.50 x DSO x (BR + SFR)</w:t>
            </w:r>
          </w:p>
        </w:tc>
      </w:tr>
      <w:tr>
        <w:trPr/>
        <w:tc>
          <w:tcPr>
            <w:tcW w:w="1777" w:type="dxa"/>
            <w:gridSpan w:val="2"/>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7951"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360</w:t>
            </w:r>
          </w:p>
        </w:tc>
      </w:tr>
      <w:tr>
        <w:trPr/>
        <w:tc>
          <w:tcPr>
            <w:tcW w:w="816" w:type="dxa"/>
            <w:tcBorders/>
            <w:tcMar>
              <w:top w:w="0" w:type="dxa"/>
              <w:left w:w="0" w:type="dxa"/>
              <w:bottom w:w="0" w:type="dxa"/>
              <w:right w:w="0" w:type="dxa"/>
            </w:tcMar>
            <w:vAlign w:val="center"/>
          </w:tcPr>
          <w:p>
            <w:pPr>
              <w:pStyle w:val="TableContents"/>
              <w:bidi w:val="0"/>
              <w:spacing w:before="115" w:after="283"/>
              <w:ind w:left="0" w:right="0" w:firstLine="50"/>
              <w:jc w:val="left"/>
              <w:rPr>
                <w:rFonts w:ascii="Times New Roman" w:hAnsi="Times New Roman"/>
                <w:color w:val="000000"/>
                <w:sz w:val="24"/>
              </w:rPr>
            </w:pPr>
            <w:r>
              <w:rPr>
                <w:rFonts w:ascii="Times New Roman" w:hAnsi="Times New Roman"/>
                <w:color w:val="000000"/>
                <w:sz w:val="24"/>
              </w:rPr>
              <w:t>where:</w:t>
            </w:r>
          </w:p>
        </w:tc>
        <w:tc>
          <w:tcPr>
            <w:tcW w:w="961" w:type="dxa"/>
            <w:tcBorders/>
            <w:tcMar>
              <w:top w:w="0" w:type="dxa"/>
              <w:left w:w="0" w:type="dxa"/>
              <w:bottom w:w="0" w:type="dxa"/>
              <w:right w:w="0" w:type="dxa"/>
            </w:tcMar>
            <w:vAlign w:val="center"/>
          </w:tcPr>
          <w:p>
            <w:pPr>
              <w:pStyle w:val="TableContents"/>
              <w:bidi w:val="0"/>
              <w:spacing w:before="0" w:after="283"/>
              <w:jc w:val="left"/>
              <w:rPr/>
            </w:pPr>
            <w:r>
              <w:rPr/>
              <w:t> </w:t>
            </w:r>
          </w:p>
        </w:tc>
        <w:tc>
          <w:tcPr>
            <w:tcW w:w="79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6" w:type="dxa"/>
            <w:tcBorders/>
            <w:tcMar>
              <w:top w:w="0" w:type="dxa"/>
              <w:left w:w="0" w:type="dxa"/>
              <w:bottom w:w="0" w:type="dxa"/>
              <w:right w:w="0" w:type="dxa"/>
            </w:tcMar>
            <w:vAlign w:val="center"/>
          </w:tcPr>
          <w:p>
            <w:pPr>
              <w:pStyle w:val="TableContents"/>
              <w:bidi w:val="0"/>
              <w:spacing w:before="115" w:after="283"/>
              <w:jc w:val="right"/>
              <w:rPr>
                <w:rFonts w:ascii="Times New Roman" w:hAnsi="Times New Roman"/>
                <w:color w:val="000000"/>
                <w:sz w:val="24"/>
              </w:rPr>
            </w:pPr>
            <w:r>
              <w:rPr>
                <w:rFonts w:ascii="Times New Roman" w:hAnsi="Times New Roman"/>
                <w:color w:val="000000"/>
                <w:sz w:val="24"/>
              </w:rPr>
              <w:t>BR</w:t>
            </w:r>
          </w:p>
        </w:tc>
        <w:tc>
          <w:tcPr>
            <w:tcW w:w="961" w:type="dxa"/>
            <w:tcBorders/>
            <w:tcMar>
              <w:top w:w="0" w:type="dxa"/>
              <w:left w:w="0" w:type="dxa"/>
              <w:bottom w:w="0" w:type="dxa"/>
              <w:right w:w="0" w:type="dxa"/>
            </w:tcMar>
            <w:vAlign w:val="center"/>
          </w:tcPr>
          <w:p>
            <w:pPr>
              <w:pStyle w:val="TableContents"/>
              <w:bidi w:val="0"/>
              <w:spacing w:before="115" w:after="283"/>
              <w:ind w:left="0" w:right="0" w:firstLine="720"/>
              <w:jc w:val="center"/>
              <w:rPr>
                <w:rFonts w:ascii="Times New Roman" w:hAnsi="Times New Roman"/>
                <w:color w:val="000000"/>
                <w:sz w:val="24"/>
              </w:rPr>
            </w:pPr>
            <w:r>
              <w:rPr>
                <w:rFonts w:ascii="Times New Roman" w:hAnsi="Times New Roman"/>
                <w:color w:val="000000"/>
                <w:sz w:val="24"/>
              </w:rPr>
              <w:t>=</w:t>
            </w:r>
          </w:p>
        </w:tc>
        <w:tc>
          <w:tcPr>
            <w:tcW w:w="7951" w:type="dxa"/>
            <w:tcBorders/>
            <w:tcMar>
              <w:top w:w="0" w:type="dxa"/>
              <w:left w:w="0" w:type="dxa"/>
              <w:bottom w:w="0" w:type="dxa"/>
              <w:right w:w="0" w:type="dxa"/>
            </w:tcMar>
            <w:vAlign w:val="center"/>
          </w:tcPr>
          <w:p>
            <w:pPr>
              <w:pStyle w:val="TableContents"/>
              <w:bidi w:val="0"/>
              <w:spacing w:before="115" w:after="283"/>
              <w:ind w:left="0" w:right="0" w:firstLine="720"/>
              <w:jc w:val="left"/>
              <w:rPr>
                <w:rFonts w:ascii="Times New Roman" w:hAnsi="Times New Roman"/>
                <w:color w:val="000000"/>
                <w:sz w:val="24"/>
              </w:rPr>
            </w:pPr>
            <w:r>
              <w:rPr>
                <w:rFonts w:ascii="Times New Roman" w:hAnsi="Times New Roman"/>
                <w:color w:val="000000"/>
                <w:sz w:val="24"/>
              </w:rPr>
              <w:t>the Base Rate at such time;</w:t>
            </w:r>
          </w:p>
        </w:tc>
      </w:tr>
      <w:tr>
        <w:trPr/>
        <w:tc>
          <w:tcPr>
            <w:tcW w:w="816" w:type="dxa"/>
            <w:tcBorders/>
            <w:tcMar>
              <w:top w:w="0" w:type="dxa"/>
              <w:left w:w="0" w:type="dxa"/>
              <w:bottom w:w="0" w:type="dxa"/>
              <w:right w:w="0" w:type="dxa"/>
            </w:tcMar>
            <w:vAlign w:val="center"/>
          </w:tcPr>
          <w:p>
            <w:pPr>
              <w:pStyle w:val="TableContents"/>
              <w:bidi w:val="0"/>
              <w:spacing w:before="115" w:after="283"/>
              <w:jc w:val="right"/>
              <w:rPr>
                <w:rFonts w:ascii="Times New Roman" w:hAnsi="Times New Roman"/>
                <w:color w:val="000000"/>
                <w:sz w:val="24"/>
              </w:rPr>
            </w:pPr>
            <w:r>
              <w:rPr>
                <w:rFonts w:ascii="Times New Roman" w:hAnsi="Times New Roman"/>
                <w:color w:val="000000"/>
                <w:sz w:val="24"/>
              </w:rPr>
              <w:t>DSO</w:t>
            </w:r>
          </w:p>
        </w:tc>
        <w:tc>
          <w:tcPr>
            <w:tcW w:w="961" w:type="dxa"/>
            <w:tcBorders/>
            <w:tcMar>
              <w:top w:w="0" w:type="dxa"/>
              <w:left w:w="0" w:type="dxa"/>
              <w:bottom w:w="0" w:type="dxa"/>
              <w:right w:w="0" w:type="dxa"/>
            </w:tcMar>
            <w:vAlign w:val="center"/>
          </w:tcPr>
          <w:p>
            <w:pPr>
              <w:pStyle w:val="TableContents"/>
              <w:bidi w:val="0"/>
              <w:spacing w:before="115" w:after="283"/>
              <w:ind w:left="0" w:right="0" w:firstLine="720"/>
              <w:jc w:val="center"/>
              <w:rPr>
                <w:rFonts w:ascii="Times New Roman" w:hAnsi="Times New Roman"/>
                <w:color w:val="000000"/>
                <w:sz w:val="24"/>
              </w:rPr>
            </w:pPr>
            <w:r>
              <w:rPr>
                <w:rFonts w:ascii="Times New Roman" w:hAnsi="Times New Roman"/>
                <w:color w:val="000000"/>
                <w:sz w:val="24"/>
              </w:rPr>
              <w:t>=</w:t>
            </w:r>
          </w:p>
        </w:tc>
        <w:tc>
          <w:tcPr>
            <w:tcW w:w="7951" w:type="dxa"/>
            <w:tcBorders/>
            <w:tcMar>
              <w:top w:w="0" w:type="dxa"/>
              <w:left w:w="0" w:type="dxa"/>
              <w:bottom w:w="0" w:type="dxa"/>
              <w:right w:w="0" w:type="dxa"/>
            </w:tcMar>
            <w:vAlign w:val="center"/>
          </w:tcPr>
          <w:p>
            <w:pPr>
              <w:pStyle w:val="TableContents"/>
              <w:bidi w:val="0"/>
              <w:spacing w:before="115" w:after="283"/>
              <w:ind w:left="0" w:right="0" w:firstLine="720"/>
              <w:jc w:val="left"/>
              <w:rPr>
                <w:rFonts w:ascii="Times New Roman" w:hAnsi="Times New Roman"/>
                <w:color w:val="000000"/>
                <w:sz w:val="24"/>
              </w:rPr>
            </w:pPr>
            <w:r>
              <w:rPr>
                <w:rFonts w:ascii="Times New Roman" w:hAnsi="Times New Roman"/>
                <w:color w:val="000000"/>
                <w:sz w:val="24"/>
              </w:rPr>
              <w:t>the Days’ Sales Outstanding for the most recently ended Fiscal Month; and</w:t>
            </w:r>
          </w:p>
        </w:tc>
      </w:tr>
      <w:tr>
        <w:trPr/>
        <w:tc>
          <w:tcPr>
            <w:tcW w:w="816" w:type="dxa"/>
            <w:tcBorders/>
            <w:tcMar>
              <w:top w:w="0" w:type="dxa"/>
              <w:left w:w="0" w:type="dxa"/>
              <w:bottom w:w="0" w:type="dxa"/>
              <w:right w:w="0" w:type="dxa"/>
            </w:tcMar>
            <w:vAlign w:val="center"/>
          </w:tcPr>
          <w:p>
            <w:pPr>
              <w:pStyle w:val="TableContents"/>
              <w:bidi w:val="0"/>
              <w:spacing w:before="115" w:after="283"/>
              <w:jc w:val="right"/>
              <w:rPr>
                <w:rFonts w:ascii="Times New Roman" w:hAnsi="Times New Roman"/>
                <w:color w:val="000000"/>
                <w:sz w:val="24"/>
              </w:rPr>
            </w:pPr>
            <w:r>
              <w:rPr>
                <w:rFonts w:ascii="Times New Roman" w:hAnsi="Times New Roman"/>
                <w:color w:val="000000"/>
                <w:sz w:val="24"/>
              </w:rPr>
              <w:t>SFR</w:t>
            </w:r>
          </w:p>
        </w:tc>
        <w:tc>
          <w:tcPr>
            <w:tcW w:w="961" w:type="dxa"/>
            <w:tcBorders/>
            <w:tcMar>
              <w:top w:w="0" w:type="dxa"/>
              <w:left w:w="0" w:type="dxa"/>
              <w:bottom w:w="0" w:type="dxa"/>
              <w:right w:w="0" w:type="dxa"/>
            </w:tcMar>
            <w:vAlign w:val="center"/>
          </w:tcPr>
          <w:p>
            <w:pPr>
              <w:pStyle w:val="TableContents"/>
              <w:bidi w:val="0"/>
              <w:spacing w:before="115" w:after="283"/>
              <w:ind w:left="0" w:right="0" w:firstLine="720"/>
              <w:jc w:val="center"/>
              <w:rPr>
                <w:rFonts w:ascii="Times New Roman" w:hAnsi="Times New Roman"/>
                <w:color w:val="000000"/>
                <w:sz w:val="24"/>
              </w:rPr>
            </w:pPr>
            <w:r>
              <w:rPr>
                <w:rFonts w:ascii="Times New Roman" w:hAnsi="Times New Roman"/>
                <w:color w:val="000000"/>
                <w:sz w:val="24"/>
              </w:rPr>
              <w:t>=</w:t>
            </w:r>
          </w:p>
        </w:tc>
        <w:tc>
          <w:tcPr>
            <w:tcW w:w="7951" w:type="dxa"/>
            <w:tcBorders/>
            <w:tcMar>
              <w:top w:w="0" w:type="dxa"/>
              <w:left w:w="0" w:type="dxa"/>
              <w:bottom w:w="0" w:type="dxa"/>
              <w:right w:w="0" w:type="dxa"/>
            </w:tcMar>
            <w:vAlign w:val="center"/>
          </w:tcPr>
          <w:p>
            <w:pPr>
              <w:pStyle w:val="TableContents"/>
              <w:bidi w:val="0"/>
              <w:spacing w:before="120" w:after="283"/>
              <w:ind w:left="0" w:right="0" w:firstLine="720"/>
              <w:jc w:val="left"/>
              <w:rPr>
                <w:rFonts w:ascii="Times New Roman" w:hAnsi="Times New Roman"/>
                <w:color w:val="000000"/>
                <w:sz w:val="24"/>
              </w:rPr>
            </w:pPr>
            <w:r>
              <w:rPr>
                <w:rFonts w:ascii="Times New Roman" w:hAnsi="Times New Roman"/>
                <w:color w:val="000000"/>
                <w:sz w:val="24"/>
              </w:rPr>
              <w:t>1.00% per annum.</w:t>
            </w:r>
          </w:p>
        </w:tc>
      </w:tr>
    </w:tbl>
    <w:p>
      <w:pPr>
        <w:pStyle w:val="TextBody"/>
        <w:bidi w:val="0"/>
        <w:spacing w:before="240" w:after="283"/>
        <w:jc w:val="both"/>
        <w:rPr>
          <w:rFonts w:ascii="Times New Roman" w:hAnsi="Times New Roman"/>
          <w:sz w:val="24"/>
        </w:rPr>
      </w:pPr>
      <w:r>
        <w:rPr>
          <w:rFonts w:ascii="Times New Roman" w:hAnsi="Times New Roman"/>
          <w:color w:val="000000"/>
          <w:sz w:val="24"/>
          <w:u w:val="single"/>
        </w:rPr>
        <w:t>Other Interpretative Matters</w:t>
      </w:r>
      <w:r>
        <w:rPr>
          <w:rFonts w:ascii="Times New Roman" w:hAnsi="Times New Roman"/>
          <w:color w:val="000000"/>
          <w:sz w:val="24"/>
        </w:rPr>
        <w:t xml:space="preserve">. All accounting terms not specifically defined herein shall be construed in accordance with GAAP. Unless otherwise expressly indicated, all references herein to “Article,” “Section,” “Schedule”, “Exhibit” or “Annex” shall mean articles and sections of, and schedules, exhibits and annexes to, this Agreement. For purposes of this Agreement, the other Transaction Documents and all such certificates and other documents, unless the context otherwise requires: (a) references to any amount as on deposit or outstanding on any particular date means such amount at the close of business on such day; (b) the words “hereof,” “herein” and “hereunder” and words of similar import refer to such agreement (or the certificate or other document in which they are used) as a whole and not to any particular provision of such agreement (or such certificate or document); (c) references to any Article, Section, Schedule, Exhibit or Annex are references to Articles, Sections, Schedules, Exhibits and Annexes in or to such agreement (or the certificate or other document in which the reference is made), and references to any paragraph, subsection, clause or other subdivision within any Section or definition refer to such paragraph, subsection, clause or other subdivision of such Section or definition; (d) the term “including” means “including without limitation”; (e) references to any Applicable Law refer to that Applicable Law as amended from time to time and include any successor Applicable Law; (f) references to any agreement refer to that agreement as from time to time amended, restated or supplemented or as the terms of such agreement are waived or modified in accordance with its terms; (g) references to any Person include that Person’s permitted successors and assigns; (h) headings are for purposes of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reference only and shall not otherwise affect the meaning or interpretation of any provision hereof; (i) unless otherwise provided, in the calculation of time from a specified date to a later specified date, the term “from” means “from and including”, and the terms “to” and “until” each means “to but excluding”; (j) terms in one gender include the parallel terms in the neuter and opposite gender; (k) references to any amount as on deposit or outstanding on any particular date means such amount at the close of business on such day and (l) the term “or” is not exclusive.</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1. </w:t>
      </w:r>
      <w:r>
        <w:rPr>
          <w:rFonts w:ascii="Times New Roman" w:hAnsi="Times New Roman"/>
          <w:color w:val="000000"/>
          <w:sz w:val="24"/>
          <w:u w:val="single"/>
        </w:rPr>
        <w:t>Agreements and Statutes.</w:t>
      </w:r>
      <w:r>
        <w:rPr>
          <w:rFonts w:ascii="Times New Roman" w:hAnsi="Times New Roman"/>
          <w:color w:val="000000"/>
          <w:sz w:val="24"/>
        </w:rPr>
        <w:t xml:space="preserve"> Any reference in this Master Framework Agreement 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this Master Framework Agreement, any Transaction Document or any other agreement or document shall be construed as a reference to this Master Framework Agreement, such Transaction Document or, as the case may be, such other agreement or document as the same may have been, or may from time to time be, amended, varied, novated or supplemented;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a statute, treaty, regulation or other law shall be construed as a reference to such statute, treaty, regulation or other law as the same may have been, or may from time to time be, amended varied, supplemented or re-enacted.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2. </w:t>
      </w:r>
      <w:r>
        <w:rPr>
          <w:rFonts w:ascii="Times New Roman" w:hAnsi="Times New Roman"/>
          <w:color w:val="000000"/>
          <w:sz w:val="24"/>
          <w:u w:val="single"/>
        </w:rPr>
        <w:t>Action, Remedy or Judicial Proceeding.</w:t>
      </w:r>
      <w:r>
        <w:rPr>
          <w:rFonts w:ascii="Times New Roman" w:hAnsi="Times New Roman"/>
          <w:color w:val="000000"/>
          <w:sz w:val="24"/>
        </w:rPr>
        <w:t xml:space="preserve"> References in any Transaction Document to any action, remedy or method of judicial proceeding for the enforcement of the rights of creditors shall be deemed to include, in respect of any jurisdiction other than England, references to such action, remedy or method of judicial proceeding for the enforcement of the rights of creditors available or appropriate in such jurisdiction as shall most nearly approximate to such action, remedy or method of judicial proceeding described or referred to in such Transaction Document.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SCHEDULE 2</w:t>
      </w:r>
    </w:p>
    <w:p>
      <w:pPr>
        <w:pStyle w:val="Heading1"/>
        <w:bidi w:val="0"/>
        <w:jc w:val="center"/>
        <w:rPr>
          <w:rFonts w:ascii="Times New Roman" w:hAnsi="Times New Roman"/>
          <w:color w:val="000000"/>
          <w:sz w:val="24"/>
        </w:rPr>
      </w:pPr>
      <w:r>
        <w:rPr>
          <w:rFonts w:ascii="Times New Roman" w:hAnsi="Times New Roman"/>
          <w:color w:val="000000"/>
          <w:sz w:val="24"/>
        </w:rPr>
        <w:t>COMMON TERMS</w:t>
      </w:r>
    </w:p>
    <w:p>
      <w:pPr>
        <w:pStyle w:val="Heading2"/>
        <w:bidi w:val="0"/>
        <w:spacing w:before="240" w:after="283"/>
        <w:jc w:val="center"/>
        <w:rPr>
          <w:rFonts w:ascii="Times New Roman" w:hAnsi="Times New Roman"/>
          <w:color w:val="000000"/>
          <w:sz w:val="24"/>
        </w:rPr>
      </w:pPr>
      <w:r>
        <w:rPr>
          <w:rFonts w:ascii="Times New Roman" w:hAnsi="Times New Roman"/>
          <w:color w:val="000000"/>
          <w:sz w:val="24"/>
        </w:rPr>
        <w:t>Part 1</w:t>
      </w:r>
    </w:p>
    <w:p>
      <w:pPr>
        <w:pStyle w:val="Heading2"/>
        <w:bidi w:val="0"/>
        <w:jc w:val="center"/>
        <w:rPr>
          <w:rFonts w:ascii="Times New Roman" w:hAnsi="Times New Roman"/>
          <w:color w:val="000000"/>
          <w:sz w:val="24"/>
        </w:rPr>
      </w:pPr>
      <w:r>
        <w:rPr>
          <w:rFonts w:ascii="Times New Roman" w:hAnsi="Times New Roman"/>
          <w:color w:val="000000"/>
          <w:sz w:val="24"/>
        </w:rPr>
        <w:t>General Legal Terms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1. </w:t>
      </w:r>
      <w:r>
        <w:rPr>
          <w:rFonts w:ascii="Times New Roman" w:hAnsi="Times New Roman"/>
          <w:color w:val="000000"/>
          <w:sz w:val="24"/>
          <w:u w:val="single"/>
        </w:rPr>
        <w:t xml:space="preserve">Further Assurance. </w:t>
      </w:r>
      <w:r>
        <w:rPr>
          <w:rFonts w:ascii="Times New Roman" w:hAnsi="Times New Roman"/>
          <w:color w:val="000000"/>
          <w:sz w:val="24"/>
        </w:rPr>
        <w:t>Each Party (in this context, an "</w:t>
      </w:r>
      <w:r>
        <w:rPr>
          <w:rFonts w:ascii="Times New Roman" w:hAnsi="Times New Roman"/>
          <w:color w:val="000000"/>
          <w:sz w:val="24"/>
          <w:u w:val="single"/>
        </w:rPr>
        <w:t>Obligor</w:t>
      </w:r>
      <w:r>
        <w:rPr>
          <w:rFonts w:ascii="Times New Roman" w:hAnsi="Times New Roman"/>
          <w:color w:val="000000"/>
          <w:sz w:val="24"/>
        </w:rPr>
        <w:t>") shall (at such Party's cost and subject as provided in that or any other Transaction Documents, save that the Administrative Agent shall not be obliged to expend its own funds nor obliged to take any action or do anything unless indemnified and/or secured and/or prefunded to its satisfaction in respect of the costs of doing so) do and execute, or arrange for the doing and executing of, each necessary act, document and thing reasonably within its power and as may be reasonably requested of it by another Party (in this context, an "</w:t>
      </w:r>
      <w:r>
        <w:rPr>
          <w:rFonts w:ascii="Times New Roman" w:hAnsi="Times New Roman"/>
          <w:color w:val="000000"/>
          <w:sz w:val="24"/>
          <w:u w:val="single"/>
        </w:rPr>
        <w:t>Obligee</w:t>
      </w:r>
      <w:r>
        <w:rPr>
          <w:rFonts w:ascii="Times New Roman" w:hAnsi="Times New Roman"/>
          <w:color w:val="000000"/>
          <w:sz w:val="24"/>
        </w:rPr>
        <w:t>") in such Transaction Document to implement and/or give effect to such Transaction Document and the transactions contemplated by it.</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2. </w:t>
      </w:r>
      <w:r>
        <w:rPr>
          <w:rFonts w:ascii="Times New Roman" w:hAnsi="Times New Roman"/>
          <w:color w:val="000000"/>
          <w:sz w:val="24"/>
          <w:u w:val="single"/>
        </w:rPr>
        <w:t>Entire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The Transaction Documents, and any document referred to in the Transaction Documents, constitute the entire agreement and understanding between the Parties relating to the subject matter of the Transaction Documents and set out all the terms of any agreements, arrangements, and transactions between the Parties.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 Each Party agrees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it has not entered into any of the Transaction Documents in reliance upon any representation, warranty or undertaking of any other Party which is not expressly set out or referred to in one of the Transaction Documents;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except in respect of an express warranty under any of the Transaction Documents, it shall not have any claim or remedy in respect of any misrepresentation (whether negligent or otherwise, and whether made prior to or in any of the Transaction Documents) or untrue statement by any other Party;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this Paragraph 2 shall not exclude any liability for fraudulent misrepresentation.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A Party is not liable to another Party (in equity, contract or tort, under the Misrepresentation Act 1967 of the United Kingdom, or in any other way) for a representation that is not set out in any Transaction Document or any document referred to in any Transaction Documents.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 Nothing in this Paragraph 2 shall have the effect of limiting or restricting any liability of a Party arising as a result of any fraud.</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3. </w:t>
      </w:r>
      <w:r>
        <w:rPr>
          <w:rFonts w:ascii="Times New Roman" w:hAnsi="Times New Roman"/>
          <w:color w:val="000000"/>
          <w:sz w:val="24"/>
          <w:u w:val="single"/>
        </w:rPr>
        <w:t>Services Non-Exclusive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Non-Exclusivity</w:t>
      </w:r>
      <w:r>
        <w:rPr>
          <w:rFonts w:ascii="Times New Roman" w:hAnsi="Times New Roman"/>
          <w:color w:val="000000"/>
          <w:sz w:val="24"/>
        </w:rPr>
        <w:t xml:space="preserve"> Subject to the provisions of the Transaction Documents, nothing in the Transaction Documents shall prevent any Party from rendering services similar to those provided for in the Transaction Documents to other persons, firms or companies or from carrying on business similar to or in competition with the business of any of the Parties.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 xml:space="preserve">Existing Businesses </w:t>
      </w:r>
      <w:r>
        <w:rPr>
          <w:rFonts w:ascii="Times New Roman" w:hAnsi="Times New Roman"/>
          <w:color w:val="000000"/>
          <w:sz w:val="24"/>
        </w:rPr>
        <w:t>Nothing in the Transaction Documents shall prevent any party to the Transaction Documents from carrying on its own business in the manner which it thinks fit, unless, by so doing, it would render itself unable to perform its obligations hereunder in the manner herein contemplated.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4. </w:t>
      </w:r>
      <w:r>
        <w:rPr>
          <w:rFonts w:ascii="Times New Roman" w:hAnsi="Times New Roman"/>
          <w:color w:val="000000"/>
          <w:sz w:val="24"/>
          <w:u w:val="single"/>
        </w:rPr>
        <w:t>Amendment.</w:t>
      </w:r>
      <w:r>
        <w:rPr>
          <w:rFonts w:ascii="Times New Roman" w:hAnsi="Times New Roman"/>
          <w:color w:val="000000"/>
          <w:sz w:val="24"/>
        </w:rPr>
        <w:t xml:space="preserve"> Subject as otherwise provided in any document concerned, a variation </w:t>
      </w:r>
      <w:r>
        <w:rPr>
          <w:rFonts w:ascii="Times New Roman" w:hAnsi="Times New Roman"/>
          <w:color w:val="000000"/>
          <w:sz w:val="24"/>
          <w:u w:val="single"/>
        </w:rPr>
        <w:t>of</w:t>
      </w:r>
      <w:r>
        <w:rPr>
          <w:rFonts w:ascii="Times New Roman" w:hAnsi="Times New Roman"/>
          <w:color w:val="000000"/>
          <w:sz w:val="24"/>
        </w:rPr>
        <w:t xml:space="preserve"> any Transaction Document is valid only if it is in writing and signed by or on behalf of each Party being a party to such document.</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5. </w:t>
      </w:r>
      <w:r>
        <w:rPr>
          <w:rFonts w:ascii="Times New Roman" w:hAnsi="Times New Roman"/>
          <w:color w:val="000000"/>
          <w:sz w:val="24"/>
          <w:u w:val="single"/>
        </w:rPr>
        <w:t>Exercise of Rights and Remedies.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A failure to exercise or delay in exercising a right or remedy provided by any Transaction Document by law does not constitute a waiver of the right or remedy or a waiver of other rights or remedies. No single or partial exercise of a right or remedy provided by any Transaction Document by law prevents further exercise of the right or remedy or the exercise of another right or remedy.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Except where any Transaction Document provides otherwise, the rights and remedies contained in a Transaction Document are cumulative and not exclusive of rights or remedies provided by law.</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6. </w:t>
      </w:r>
      <w:r>
        <w:rPr>
          <w:rFonts w:ascii="Times New Roman" w:hAnsi="Times New Roman"/>
          <w:color w:val="000000"/>
          <w:sz w:val="24"/>
          <w:u w:val="single"/>
        </w:rPr>
        <w:t>Partial Invalidity.</w:t>
      </w:r>
      <w:r>
        <w:rPr>
          <w:rFonts w:ascii="Times New Roman" w:hAnsi="Times New Roman"/>
          <w:color w:val="000000"/>
          <w:sz w:val="24"/>
        </w:rPr>
        <w:t xml:space="preserve"> The invalidity, illegality or unenforceability of a provision of a Transaction Document does not affect or impair the continuation in force of the remainder of such Transaction Document.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7. </w:t>
      </w:r>
      <w:r>
        <w:rPr>
          <w:rFonts w:ascii="Times New Roman" w:hAnsi="Times New Roman"/>
          <w:color w:val="000000"/>
          <w:sz w:val="24"/>
          <w:u w:val="single"/>
        </w:rPr>
        <w:t>No Partnership.</w:t>
      </w:r>
      <w:r>
        <w:rPr>
          <w:rFonts w:ascii="Times New Roman" w:hAnsi="Times New Roman"/>
          <w:color w:val="000000"/>
          <w:sz w:val="24"/>
        </w:rPr>
        <w:t xml:space="preserve"> Except where any Transaction Document provides otherwise, no provision of any Transaction Document creates a partnership between any of the parties or makes a Party the agent of another Party for any purpose. Except where </w:t>
      </w:r>
      <w:r>
        <w:rPr>
          <w:rFonts w:ascii="Times New Roman" w:hAnsi="Times New Roman"/>
          <w:color w:val="000000"/>
          <w:sz w:val="24"/>
          <w:u w:val="single"/>
        </w:rPr>
        <w:t>any</w:t>
      </w:r>
      <w:r>
        <w:rPr>
          <w:rFonts w:ascii="Times New Roman" w:hAnsi="Times New Roman"/>
          <w:color w:val="000000"/>
          <w:sz w:val="24"/>
        </w:rPr>
        <w:t xml:space="preserve"> Transaction Document provides otherwise, a Party has no authority or power to bind, to contract in the name of, or to create a liability for another Party in any way or for any purpose.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8. </w:t>
      </w:r>
      <w:r>
        <w:rPr>
          <w:rFonts w:ascii="Times New Roman" w:hAnsi="Times New Roman"/>
          <w:color w:val="000000"/>
          <w:sz w:val="24"/>
          <w:u w:val="single"/>
        </w:rPr>
        <w:t>Continuation of Obligations.</w:t>
      </w:r>
      <w:r>
        <w:rPr>
          <w:rFonts w:ascii="Times New Roman" w:hAnsi="Times New Roman"/>
          <w:color w:val="000000"/>
          <w:sz w:val="24"/>
        </w:rPr>
        <w:t xml:space="preserve"> Except to the extent that they have been performed and except where any Transaction Document provides otherwise, the warranties, representations, indemnities, and obligations contained in any Transaction Document remain in force after the date on which such Transaction Document becomes effective.</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9. </w:t>
      </w:r>
      <w:r>
        <w:rPr>
          <w:rFonts w:ascii="Times New Roman" w:hAnsi="Times New Roman"/>
          <w:color w:val="000000"/>
          <w:sz w:val="24"/>
          <w:u w:val="single"/>
        </w:rPr>
        <w:t>Assignment and Subcontracting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Each Transaction Document shall be binding upon and enure to the benefit of each Party hereto and its or any subsequent successors and assigns.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Except where any Transaction Document provides otherwise, a Party may not assign or transfer or purport to assign or transfer a right or obligation under any Transaction Document to which it is a party.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Each Party is entering into each Transaction Document to which it is a party for its benefit and not for the benefit of another person save in the case of the Administrative Agent or as expressly stated.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 Except where any Transaction Document provides otherwise, a Party may not subcontract the performance of any of its obligations under a Transaction Document.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10. </w:t>
      </w:r>
      <w:r>
        <w:rPr>
          <w:rFonts w:ascii="Times New Roman" w:hAnsi="Times New Roman"/>
          <w:color w:val="000000"/>
          <w:sz w:val="24"/>
          <w:u w:val="single"/>
        </w:rPr>
        <w:t>Notice of Assignment.</w:t>
      </w:r>
      <w:r>
        <w:rPr>
          <w:rFonts w:ascii="Times New Roman" w:hAnsi="Times New Roman"/>
          <w:color w:val="000000"/>
          <w:sz w:val="24"/>
        </w:rPr>
        <w:t xml:space="preserve"> Under the terms of the UK Security Agreement, the Seller has assigned by way of security all its rights, title and interest in and to the Transaction Documents. By signature of this Master Framework Agreement, the other Parties each hereby acknowledge and confirm that they have notice of such assignment.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11. </w:t>
      </w:r>
      <w:r>
        <w:rPr>
          <w:rFonts w:ascii="Times New Roman" w:hAnsi="Times New Roman"/>
          <w:color w:val="000000"/>
          <w:sz w:val="24"/>
          <w:u w:val="single"/>
        </w:rPr>
        <w:t>Third Party Transaction Rights</w:t>
      </w:r>
      <w:r>
        <w:rPr>
          <w:rFonts w:ascii="Times New Roman" w:hAnsi="Times New Roman"/>
          <w:color w:val="000000"/>
          <w:sz w:val="24"/>
        </w:rPr>
        <w:t>. Save as where expressly specified to the contrary a person who is not a party to any Transaction Document has no right to enforce any term of such Transaction Document but this does not affect any right or remedy of a third party which exists or is available apart from that Act.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12. </w:t>
      </w:r>
      <w:r>
        <w:rPr>
          <w:rFonts w:ascii="Times New Roman" w:hAnsi="Times New Roman"/>
          <w:color w:val="000000"/>
          <w:sz w:val="24"/>
          <w:u w:val="single"/>
        </w:rPr>
        <w:t>Bail-in Action</w:t>
      </w:r>
      <w:r>
        <w:rPr>
          <w:rFonts w:ascii="Times New Roman" w:hAnsi="Times New Roman"/>
          <w:color w:val="000000"/>
          <w:sz w:val="24"/>
        </w:rPr>
        <w:t xml:space="preserve"> Notwithstanding anything to the contrary in any Transaction Document or in any other agreement, arrangement or understanding among any such parties, each party hereto acknowledges that any liability of any Purchaser that is an Affected Financial Institution arising under any Transaction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the application of any Write-Down and Conversion Powers by the applicable Resolution Authority to any such liabilities arising hereunder which may be payable to it by any Purchaser that is an Affected Financial Institution;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the effects of any Bail-in Action on any such liability, including, if applicable: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a reduction in full or in part or cancellation of any such liability;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Transaction Document;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the variation of the terms of such liability in connection with the exercise of the Write-Down and Conversion Powers of the applicable Resolution Authority.</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13. </w:t>
      </w:r>
      <w:r>
        <w:rPr>
          <w:rFonts w:ascii="Times New Roman" w:hAnsi="Times New Roman"/>
          <w:color w:val="000000"/>
          <w:sz w:val="24"/>
          <w:u w:val="single"/>
        </w:rPr>
        <w:t>Confidentiality</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Each Party covenants and agrees to hold in confidence, and not disclose to any Person, the terms of this Agreement or any other Transaction Document or the identity of the Administrative Agent or any other Purchaser Party, except as the Administrative Agent and each Group Agent may have consented to in writing prior to any proposed disclosure;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it may disclose such information (i) to its Advisors and Representatives, (ii) to the extent such information has become available to the public other than as a result of a disclosure by or through the Seller, the Performance Guarantor or a Servicer or their Advisors and Representatives or (iii) to the extent it should be (A) required by Applicable Law, or in connection with any legal or regulatory proceeding or (B) requested by any Governmental Authority to disclose such information; </w:t>
      </w:r>
      <w:r>
        <w:rPr>
          <w:rFonts w:ascii="Times New Roman" w:hAnsi="Times New Roman"/>
          <w:color w:val="000000"/>
          <w:sz w:val="24"/>
          <w:u w:val="single"/>
        </w:rPr>
        <w:t>provided</w:t>
      </w:r>
      <w:r>
        <w:rPr>
          <w:rFonts w:ascii="Times New Roman" w:hAnsi="Times New Roman"/>
          <w:color w:val="000000"/>
          <w:sz w:val="24"/>
        </w:rPr>
        <w:t xml:space="preserve">, that, in the case of </w:t>
      </w:r>
      <w:r>
        <w:rPr>
          <w:rFonts w:ascii="Times New Roman" w:hAnsi="Times New Roman"/>
          <w:color w:val="000000"/>
          <w:sz w:val="24"/>
          <w:u w:val="single"/>
        </w:rPr>
        <w:t>clause (iii)</w:t>
      </w:r>
      <w:r>
        <w:rPr>
          <w:rFonts w:ascii="Times New Roman" w:hAnsi="Times New Roman"/>
          <w:color w:val="000000"/>
          <w:sz w:val="24"/>
        </w:rPr>
        <w:t xml:space="preserve"> above, the Seller, the Performance Guarantor, the Servicer and/or the Originators will use reasonable efforts to maintain confidentiality and will (unless otherwise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prohibited by Applicable Law) notify the Administrative Agent and the affected Purchaser Party of its intention to make any such disclosure (to the extent practicable) prior to making such disclosure. Each of the Seller, the Performance Guarantor, the Servicer and the Originators agree to be responsible for any breach of this Section by its Representatives and Advisors and agrees that its Representatives and Advisors will be advised by it of the confidential nature of such information and shall agree to comply with this Section. Notwithstanding the foregoing, it is expressly agreed that each of the Seller, the Performance Guarantor, the Servicer and the Originators and their respective Affiliates may publish a press release or otherwise publicly announce the existence and principal amount of the Commitments under the Receivables Purchase Agreement and the transactions contemplated thereby; </w:t>
      </w:r>
      <w:r>
        <w:rPr>
          <w:rFonts w:ascii="Times New Roman" w:hAnsi="Times New Roman"/>
          <w:color w:val="000000"/>
          <w:sz w:val="24"/>
          <w:u w:val="single"/>
        </w:rPr>
        <w:t>provided</w:t>
      </w:r>
      <w:r>
        <w:rPr>
          <w:rFonts w:ascii="Times New Roman" w:hAnsi="Times New Roman"/>
          <w:color w:val="000000"/>
          <w:sz w:val="24"/>
        </w:rPr>
        <w:t xml:space="preserve"> that the Administrative Agent shall be provided a reasonable opportunity to review such press release or other public announcement prior to its release and provide comment thereon; and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no such press release shall name or otherwise identify the Administrative Agent, any other Purchaser Party or any of their respective Affiliates without such Person’s prior written consent (such consent not to be unreasonably withheld, conditioned or delayed). Notwithstanding the foregoing, the Seller, the Performance Guarantor, the Servicer and the Originators consent to the publication by the Administrative Agent or any other Purchaser Party of a tombstone or similar advertising material relating to the financing transactions contemplated by this Agreement or any other Transaction Document.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Each of the Administrative Agent and each other Purchaser Party, severally and with respect to itself only, agrees to hold in confidence, and not disclose to any Person, any confidential and proprietary information concerning the Seller, the Performance Guarantor, the Servicer, the Originators and their respective Affiliates and their businesses or the terms of this Agreement or any other Transaction Document (including any fees payable in connection with this Agreement or the other Transaction Documents), except as the Seller, the Performance Guarantor or the Servicer may have consented to in writing prior to any proposed disclosure;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it may disclose such information (i) to its Advisors and Representatives and to any related Program Support Provider, (ii) to its assignees and Participants and potential assignees and Participants and their respective counsel if they agree in writing to hold it confidential, (iii) to the extent such information has become available to the public other than as a result of a disclosure by or through it or its Representatives or Advisors or any related Program Support Provider, (iv) to any nationally recognized statistical rating organization in connection with obtaining or maintaining the rating of any Conduit Purchaser’s Commercial Paper or as contemplated by 17 CFR 240.17g-5(a)(3), (v) at the request of a bank examiner or other regulatory authority or in connection with an examination of any of the Administrative Agent, any Group Agent or any Purchaser or their respective Affiliates or Program Support Providers or (vi) to the extent it should be (A) required by Applicable Law, or in connection with any legal or regulatory proceeding or (B) requested by any Governmental Authority to disclose such information; </w:t>
      </w:r>
      <w:r>
        <w:rPr>
          <w:rFonts w:ascii="Times New Roman" w:hAnsi="Times New Roman"/>
          <w:color w:val="000000"/>
          <w:sz w:val="24"/>
          <w:u w:val="single"/>
        </w:rPr>
        <w:t>provided</w:t>
      </w:r>
      <w:r>
        <w:rPr>
          <w:rFonts w:ascii="Times New Roman" w:hAnsi="Times New Roman"/>
          <w:color w:val="000000"/>
          <w:sz w:val="24"/>
        </w:rPr>
        <w:t xml:space="preserve">, that, in the case of </w:t>
      </w:r>
      <w:r>
        <w:rPr>
          <w:rFonts w:ascii="Times New Roman" w:hAnsi="Times New Roman"/>
          <w:color w:val="000000"/>
          <w:sz w:val="24"/>
          <w:u w:val="single"/>
        </w:rPr>
        <w:t>clause</w:t>
      </w:r>
    </w:p>
    <w:p>
      <w:pPr>
        <w:pStyle w:val="TextBody"/>
        <w:bidi w:val="0"/>
        <w:jc w:val="both"/>
        <w:rPr>
          <w:rFonts w:ascii="Times New Roman" w:hAnsi="Times New Roman"/>
          <w:sz w:val="24"/>
        </w:rPr>
      </w:pPr>
      <w:r>
        <w:rPr>
          <w:rFonts w:ascii="Times New Roman" w:hAnsi="Times New Roman"/>
          <w:color w:val="000000"/>
          <w:sz w:val="24"/>
          <w:u w:val="single"/>
        </w:rPr>
        <w:t>(vi)</w:t>
      </w:r>
      <w:r>
        <w:rPr>
          <w:rFonts w:ascii="Times New Roman" w:hAnsi="Times New Roman"/>
          <w:color w:val="000000"/>
          <w:sz w:val="24"/>
        </w:rPr>
        <w:t xml:space="preserve"> above, the Administrative Agent, each Group Agent and each Purchaser will use reasonable efforts to maintain confidentiality and will (unless otherwise prohibited by Applicable Law) notify the Seller and the Servicer of its making any such disclosure as promptly as reasonably practicable thereafter. Each of the Administrative Agent, each Group Agent and each Purchaser, severally and with respect to itself only, agrees to be responsible for any breach of this Section by its Representatives, Advisors and Program Support Providers and agrees that its Representatives, Advisors and Program Support Providers will be advised by it of the confidential nature of such information and shall agree to comply with this Section.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(c) As used in this Section, (i) “</w:t>
      </w:r>
      <w:r>
        <w:rPr>
          <w:rFonts w:ascii="Times New Roman" w:hAnsi="Times New Roman"/>
          <w:color w:val="000000"/>
          <w:sz w:val="24"/>
          <w:u w:val="single"/>
        </w:rPr>
        <w:t>Advisors</w:t>
      </w:r>
      <w:r>
        <w:rPr>
          <w:rFonts w:ascii="Times New Roman" w:hAnsi="Times New Roman"/>
          <w:color w:val="000000"/>
          <w:sz w:val="24"/>
        </w:rPr>
        <w:t>” means, with respect to any Person, such Person’s accountants, attorneys and other confidential advisors and (ii) “</w:t>
      </w:r>
      <w:r>
        <w:rPr>
          <w:rFonts w:ascii="Times New Roman" w:hAnsi="Times New Roman"/>
          <w:color w:val="000000"/>
          <w:sz w:val="24"/>
          <w:u w:val="single"/>
        </w:rPr>
        <w:t>Representatives</w:t>
      </w:r>
      <w:r>
        <w:rPr>
          <w:rFonts w:ascii="Times New Roman" w:hAnsi="Times New Roman"/>
          <w:color w:val="000000"/>
          <w:sz w:val="24"/>
        </w:rPr>
        <w:t xml:space="preserve">” means, with respect to any Person, such Person’s Affiliates, Subsidiaries, directors, managers, officers, employees, members, investors, financing sources, insurers, professional advisors, representatives and agents; </w:t>
      </w:r>
      <w:r>
        <w:rPr>
          <w:rFonts w:ascii="Times New Roman" w:hAnsi="Times New Roman"/>
          <w:i/>
          <w:color w:val="000000"/>
          <w:sz w:val="24"/>
        </w:rPr>
        <w:t xml:space="preserve">provided </w:t>
      </w:r>
      <w:r>
        <w:rPr>
          <w:rFonts w:ascii="Times New Roman" w:hAnsi="Times New Roman"/>
          <w:color w:val="000000"/>
          <w:sz w:val="24"/>
        </w:rPr>
        <w:t>that such Persons shall not be deemed to Representatives of a Person unless (and solely to the extent that) confidential information is furnished to such Person.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 Notwithstanding the foregoing, to the extent not inconsistent with applicable securities laws, each party hereto (and each of its employees, representatives or other agents) may disclose to any and all persons, without limitation of any kind, the tax treatment and tax structure (as defined in Section 1.6011-4 of the Treasury Regulations) of the transactions contemplated by the Transaction Documents and all materials of any kind (including opinions or other tax analyses) that are provided to such Person relating to such tax treatment and tax structure.</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14. </w:t>
      </w:r>
      <w:r>
        <w:rPr>
          <w:rFonts w:ascii="Times New Roman" w:hAnsi="Times New Roman"/>
          <w:color w:val="000000"/>
          <w:sz w:val="24"/>
          <w:u w:val="single"/>
        </w:rPr>
        <w:t>Notices</w:t>
      </w:r>
    </w:p>
    <w:p>
      <w:pPr>
        <w:pStyle w:val="TextBody"/>
        <w:bidi w:val="0"/>
        <w:spacing w:before="240" w:after="283"/>
        <w:jc w:val="both"/>
        <w:rPr>
          <w:rFonts w:ascii="Times New Roman" w:hAnsi="Times New Roman"/>
          <w:sz w:val="24"/>
        </w:rPr>
      </w:pPr>
      <w:r>
        <w:rPr>
          <w:rFonts w:ascii="Times New Roman" w:hAnsi="Times New Roman"/>
          <w:color w:val="000000"/>
          <w:sz w:val="24"/>
        </w:rPr>
        <w:t>(a) All notices and other communications hereunder shall, unless otherwise stated herein, be in writing (which shall include facsimile communication) delivered, to each party hereto, at its address set forth under its name on Schedule 6 (</w:t>
      </w:r>
      <w:r>
        <w:rPr>
          <w:rFonts w:ascii="Times New Roman" w:hAnsi="Times New Roman"/>
          <w:i/>
          <w:color w:val="000000"/>
          <w:sz w:val="24"/>
        </w:rPr>
        <w:t>Notices</w:t>
      </w:r>
      <w:r>
        <w:rPr>
          <w:rFonts w:ascii="Times New Roman" w:hAnsi="Times New Roman"/>
          <w:color w:val="000000"/>
          <w:sz w:val="24"/>
        </w:rPr>
        <w:t xml:space="preserve"> </w:t>
      </w:r>
      <w:r>
        <w:rPr>
          <w:rFonts w:ascii="Times New Roman" w:hAnsi="Times New Roman"/>
          <w:i/>
          <w:color w:val="000000"/>
          <w:sz w:val="24"/>
        </w:rPr>
        <w:t>Details</w:t>
      </w:r>
      <w:r>
        <w:rPr>
          <w:rFonts w:ascii="Times New Roman" w:hAnsi="Times New Roman"/>
          <w:color w:val="000000"/>
          <w:sz w:val="24"/>
        </w:rPr>
        <w:t>) hereto or at such other address as shall be designated by such party in a written notice to the other parties hereto. Notices and communications by facsimile shall be effective when sent (and shall be followed by hard copy sent by regular mail), and notices and communications sent by other means shall be effective when received.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15. </w:t>
      </w:r>
      <w:r>
        <w:rPr>
          <w:rFonts w:ascii="Times New Roman" w:hAnsi="Times New Roman"/>
          <w:color w:val="000000"/>
          <w:sz w:val="24"/>
          <w:u w:val="single"/>
        </w:rPr>
        <w:t>Counterparts.</w:t>
      </w:r>
      <w:r>
        <w:rPr>
          <w:rFonts w:ascii="Times New Roman" w:hAnsi="Times New Roman"/>
          <w:color w:val="000000"/>
          <w:sz w:val="24"/>
        </w:rPr>
        <w:t xml:space="preserve"> Each Transaction Document may be executed in any number of counterparts, all of which taken together shall constitute one and the same instrument.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16. </w:t>
      </w:r>
      <w:r>
        <w:rPr>
          <w:rFonts w:ascii="Times New Roman" w:hAnsi="Times New Roman"/>
          <w:color w:val="000000"/>
          <w:sz w:val="24"/>
          <w:u w:val="single"/>
        </w:rPr>
        <w:t>Process Agent.</w:t>
      </w:r>
      <w:r>
        <w:rPr>
          <w:rFonts w:ascii="Times New Roman" w:hAnsi="Times New Roman"/>
          <w:color w:val="000000"/>
          <w:sz w:val="24"/>
        </w:rPr>
        <w:t xml:space="preserve"> Without prejudice to any mode of service allowed under any Applicable Law, each of the Seller, Ashland, the French Originator, the German Originator, the Italian Originator, the Singaporean Originator, the Spanish Originator, the Swiss Originator and the Irish Originator: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irrevocably appoints Ashland Specialties UK Limited of 30 Old Bailey, London EC4M 7AU or, if different, its registered address as its agent of service of process in relation to any proceedings before the English courts in connection with this Agreement and/or any other Transaction Document governed by English law;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agrees that a failure by the process agent to notify it of the process will not invalidate the proceedings concerned.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the appointment by any of Ashland, the Seller, the Servicer and the Parent in Section 11.23(a)(i) ceases to be effective, it shall promptly appoint another agent in England as its agent for service of process in relation to any proceedings before the English courts in connection with this Agreement and/or any Transaction Document governed by English law. If it fails to do so (and that failure continues for a period of not less than 15 Business Days), the Administrative Agent shall be permitted to appoint such a person by notice to Ashland, the Seller, the Servicer and/or the Parent.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17. </w:t>
      </w:r>
      <w:r>
        <w:rPr>
          <w:rFonts w:ascii="Times New Roman" w:hAnsi="Times New Roman"/>
          <w:color w:val="000000"/>
          <w:sz w:val="24"/>
          <w:u w:val="single"/>
        </w:rPr>
        <w:t>No proceedings and limited recourse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each of the parties (other than the Seller) to the Transaction Documents hereby agree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only the Administrative Agent may pursue the remedies available under general law or under the UK Security Agreement to enforce the Security Trust Property and it will not institute, or join any other Person in instituting, against the Seller any Insolvency Proceeding, provided that nothing in this paragraph 17 shall prevent the Administrative Agent enforcing the security constituted by the UK Security Agreement in accordance with its terms;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notwithstanding anything contained in the Transaction Document, the obligations of the Seller under the Transaction Documents are solely the corporate obligations of the Seller and shall be payable solely to the extent of funds which are received by the Seller pursuant to the Transaction Documents and available for such payment in accordance with the terms of the Transaction Documents and shall be non-recourse other than with respect to such available funds and, if ever and until such time as the Seller has sufficient funds to pay such obligation shall not constitute a claim against the Seller;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no recourse under any obligation, covenant or agreement of the Seller contained in this Agreement or any other Transaction Document shall be had against any incorporator, stockholder, officer, director, member, manager, employee or agent of the Seller by the enforcement of any assessment or by any legal or equitable proceeding, by virtue of any statute or otherwise; it being expressly agreed and understood that this Agreement and the other Transaction Documents are solely corporate obligations of the Seller, and that no personal liability whatever shall attach to or be incurred by any incorporator, stockholder, officer, director, member, manager, employee or agent of the Seller or any of them under or by reason of any of the obligations, covenants or agreements of the Seller contained in this Agreement or any other Transaction Document, or implied therefrom, and that any and all personal liability for breaches by the Seller of any of such obligations, covenants or agreements, either at common law or at equity, or by statute, rule or regulation, of every such incorporator, stockholder, officer, director, member, manager, employee or agent is hereby expressly waived as a condition of and in consideration for the execution of this Agreement and the Transaction Documents;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 each party to the Transaction Documents agrees with the Seller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notwithstanding any other provision of any Transaction Document, all obligations of the Seller to such party are limited in recourse as set out above;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it will have a claim only in respect of the Security Trust Property and the Seller Share Charge and will not have any claim, by operation of law or otherwise, against, or recourse to any of the Seller’s other assets or its contributed capital;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sums payable to such party in respect of the Seller’s obligations to such party shall be limited to the lesser of (A) the aggregate amount of all sums due and payable to such party and (B) the aggregate amounts received, realised or otherwise recovered by or for the account of the Seller in respect of the Security Trust Property whether pursuant to enforcement of the Security Trust Property or otherwise, net of any sums which are payable by the Seller in accordance with the Transaction Documents in priority or pari passu with sums payable to such party;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 upon the Administrative Agent giving written notice to the parties to the Transaction Documents that it has determined, that there is no reasonable likelihood of there being any further realisations in respect of the Security Trust Property (whether arising from an enforcement of the Security Trust Property or otherwise), which would be available to pay unpaid amounts outstanding under the relevant Transaction Documents, the parties to the Transaction Documents shall have no further claim against the Seller in respect of any such unpaid amounts and such unpaid amounts shall be extinguished and discharged in full;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 each member of the Ashland Group that is a party to the Transaction Documents (other than the Seller) acknowledge that their obligations under the Transaction Documents shall continue in full force and effect notwithstanding any extinguishment or discharge in accordance with (iv) above and the Administrative Agent shall be entitled to enforce all such obligations against the relevant Ashland Group member (other than the Seller) in accordance with the relevant Transaction Documents.</w:t>
      </w:r>
    </w:p>
    <w:p>
      <w:pPr>
        <w:pStyle w:val="TextBody"/>
        <w:bidi w:val="0"/>
        <w:spacing w:before="240" w:after="283"/>
        <w:jc w:val="both"/>
        <w:rPr>
          <w:rFonts w:ascii="Times New Roman" w:hAnsi="Times New Roman"/>
          <w:sz w:val="24"/>
        </w:rPr>
      </w:pPr>
      <w:r>
        <w:rPr>
          <w:rFonts w:ascii="Times New Roman" w:hAnsi="Times New Roman"/>
          <w:color w:val="000000"/>
          <w:sz w:val="24"/>
        </w:rPr>
        <w:t>(c) In the event of a conflict between this paragraph 17 (</w:t>
      </w:r>
      <w:r>
        <w:rPr>
          <w:rFonts w:ascii="Times New Roman" w:hAnsi="Times New Roman"/>
          <w:i/>
          <w:color w:val="000000"/>
          <w:sz w:val="24"/>
        </w:rPr>
        <w:t>No</w:t>
      </w:r>
      <w:r>
        <w:rPr>
          <w:rFonts w:ascii="Times New Roman" w:hAnsi="Times New Roman"/>
          <w:color w:val="000000"/>
          <w:sz w:val="24"/>
        </w:rPr>
        <w:t xml:space="preserve"> </w:t>
      </w:r>
      <w:r>
        <w:rPr>
          <w:rFonts w:ascii="Times New Roman" w:hAnsi="Times New Roman"/>
          <w:i/>
          <w:color w:val="000000"/>
          <w:sz w:val="24"/>
        </w:rPr>
        <w:t>proceedings</w:t>
      </w:r>
      <w:r>
        <w:rPr>
          <w:rFonts w:ascii="Times New Roman" w:hAnsi="Times New Roman"/>
          <w:color w:val="000000"/>
          <w:sz w:val="24"/>
        </w:rPr>
        <w:t xml:space="preserve"> </w:t>
      </w:r>
      <w:r>
        <w:rPr>
          <w:rFonts w:ascii="Times New Roman" w:hAnsi="Times New Roman"/>
          <w:i/>
          <w:color w:val="000000"/>
          <w:sz w:val="24"/>
        </w:rPr>
        <w:t>and</w:t>
      </w:r>
      <w:r>
        <w:rPr>
          <w:rFonts w:ascii="Times New Roman" w:hAnsi="Times New Roman"/>
          <w:color w:val="000000"/>
          <w:sz w:val="24"/>
        </w:rPr>
        <w:t xml:space="preserve"> </w:t>
      </w:r>
      <w:r>
        <w:rPr>
          <w:rFonts w:ascii="Times New Roman" w:hAnsi="Times New Roman"/>
          <w:i/>
          <w:color w:val="000000"/>
          <w:sz w:val="24"/>
        </w:rPr>
        <w:t>limited recourse</w:t>
      </w:r>
      <w:r>
        <w:rPr>
          <w:rFonts w:ascii="Times New Roman" w:hAnsi="Times New Roman"/>
          <w:color w:val="000000"/>
          <w:sz w:val="24"/>
        </w:rPr>
        <w:t>) and any provision in any Transaction Document, the terms of this paragraph 17 (</w:t>
      </w:r>
      <w:r>
        <w:rPr>
          <w:rFonts w:ascii="Times New Roman" w:hAnsi="Times New Roman"/>
          <w:i/>
          <w:color w:val="000000"/>
          <w:sz w:val="24"/>
        </w:rPr>
        <w:t>No proceedings and limited recourse</w:t>
      </w:r>
      <w:r>
        <w:rPr>
          <w:rFonts w:ascii="Times New Roman" w:hAnsi="Times New Roman"/>
          <w:color w:val="000000"/>
          <w:sz w:val="24"/>
        </w:rPr>
        <w:t>) shall prevail.</w:t>
      </w:r>
    </w:p>
    <w:p>
      <w:pPr>
        <w:pStyle w:val="TextBody"/>
        <w:bidi w:val="0"/>
        <w:spacing w:before="240" w:after="283"/>
        <w:jc w:val="both"/>
        <w:rPr>
          <w:rFonts w:ascii="Times New Roman" w:hAnsi="Times New Roman"/>
          <w:sz w:val="24"/>
        </w:rPr>
      </w:pPr>
      <w:r>
        <w:rPr>
          <w:rFonts w:ascii="Times New Roman" w:hAnsi="Times New Roman"/>
          <w:color w:val="000000"/>
          <w:sz w:val="24"/>
        </w:rPr>
        <w:t>(d) The provisions of this paragraph 17 (</w:t>
      </w:r>
      <w:r>
        <w:rPr>
          <w:rFonts w:ascii="Times New Roman" w:hAnsi="Times New Roman"/>
          <w:i/>
          <w:color w:val="000000"/>
          <w:sz w:val="24"/>
        </w:rPr>
        <w:t>No</w:t>
      </w:r>
      <w:r>
        <w:rPr>
          <w:rFonts w:ascii="Times New Roman" w:hAnsi="Times New Roman"/>
          <w:color w:val="000000"/>
          <w:sz w:val="24"/>
        </w:rPr>
        <w:t xml:space="preserve"> </w:t>
      </w:r>
      <w:r>
        <w:rPr>
          <w:rFonts w:ascii="Times New Roman" w:hAnsi="Times New Roman"/>
          <w:i/>
          <w:color w:val="000000"/>
          <w:sz w:val="24"/>
        </w:rPr>
        <w:t>proceedings</w:t>
      </w:r>
      <w:r>
        <w:rPr>
          <w:rFonts w:ascii="Times New Roman" w:hAnsi="Times New Roman"/>
          <w:color w:val="000000"/>
          <w:sz w:val="24"/>
        </w:rPr>
        <w:t xml:space="preserve"> </w:t>
      </w:r>
      <w:r>
        <w:rPr>
          <w:rFonts w:ascii="Times New Roman" w:hAnsi="Times New Roman"/>
          <w:i/>
          <w:color w:val="000000"/>
          <w:sz w:val="24"/>
        </w:rPr>
        <w:t>and</w:t>
      </w:r>
      <w:r>
        <w:rPr>
          <w:rFonts w:ascii="Times New Roman" w:hAnsi="Times New Roman"/>
          <w:color w:val="000000"/>
          <w:sz w:val="24"/>
        </w:rPr>
        <w:t xml:space="preserve"> </w:t>
      </w:r>
      <w:r>
        <w:rPr>
          <w:rFonts w:ascii="Times New Roman" w:hAnsi="Times New Roman"/>
          <w:i/>
          <w:color w:val="000000"/>
          <w:sz w:val="24"/>
        </w:rPr>
        <w:t>limited</w:t>
      </w:r>
      <w:r>
        <w:rPr>
          <w:rFonts w:ascii="Times New Roman" w:hAnsi="Times New Roman"/>
          <w:color w:val="000000"/>
          <w:sz w:val="24"/>
        </w:rPr>
        <w:t xml:space="preserve"> </w:t>
      </w:r>
      <w:r>
        <w:rPr>
          <w:rFonts w:ascii="Times New Roman" w:hAnsi="Times New Roman"/>
          <w:i/>
          <w:color w:val="000000"/>
          <w:sz w:val="24"/>
        </w:rPr>
        <w:t>recourse</w:t>
      </w:r>
      <w:r>
        <w:rPr>
          <w:rFonts w:ascii="Times New Roman" w:hAnsi="Times New Roman"/>
          <w:color w:val="000000"/>
          <w:sz w:val="24"/>
        </w:rPr>
        <w:t>) shall survive the termination of this Agreement and/or any Transaction Documents.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18. </w:t>
      </w:r>
      <w:r>
        <w:rPr>
          <w:rFonts w:ascii="Times New Roman" w:hAnsi="Times New Roman"/>
          <w:color w:val="000000"/>
          <w:sz w:val="24"/>
          <w:u w:val="single"/>
        </w:rPr>
        <w:t>Governing Law.</w:t>
      </w:r>
      <w:r>
        <w:rPr>
          <w:rFonts w:ascii="Times New Roman" w:hAnsi="Times New Roman"/>
          <w:color w:val="000000"/>
          <w:sz w:val="24"/>
        </w:rPr>
        <w:t xml:space="preserve"> Unless otherwise specified, each Transaction Document and any non-</w:t>
      </w:r>
      <w:r>
        <w:rPr>
          <w:rFonts w:ascii="Times New Roman" w:hAnsi="Times New Roman"/>
          <w:color w:val="000000"/>
          <w:sz w:val="24"/>
          <w:u w:val="single"/>
        </w:rPr>
        <w:t>contractual</w:t>
      </w:r>
      <w:r>
        <w:rPr>
          <w:rFonts w:ascii="Times New Roman" w:hAnsi="Times New Roman"/>
          <w:color w:val="000000"/>
          <w:sz w:val="24"/>
        </w:rPr>
        <w:t xml:space="preserve"> obligations arising out of or in connection with them are governed by, and shall be construed in accordance with, English law.</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19. </w:t>
      </w:r>
      <w:r>
        <w:rPr>
          <w:rFonts w:ascii="Times New Roman" w:hAnsi="Times New Roman"/>
          <w:color w:val="000000"/>
          <w:sz w:val="24"/>
          <w:u w:val="single"/>
        </w:rPr>
        <w:t>Jurisdiction</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English Courts</w:t>
      </w:r>
      <w:r>
        <w:rPr>
          <w:rFonts w:ascii="Times New Roman" w:hAnsi="Times New Roman"/>
          <w:color w:val="000000"/>
          <w:sz w:val="24"/>
        </w:rPr>
        <w:t xml:space="preserve">. Unless otherwise specified, the courts of England and Wales sitting in London have exclusive jurisdiction to settle any dispute (a </w:t>
      </w:r>
      <w:r>
        <w:rPr>
          <w:rFonts w:ascii="Times New Roman" w:hAnsi="Times New Roman"/>
          <w:b/>
          <w:color w:val="000000"/>
          <w:sz w:val="24"/>
        </w:rPr>
        <w:t>"Dispute"</w:t>
      </w:r>
      <w:r>
        <w:rPr>
          <w:rFonts w:ascii="Times New Roman" w:hAnsi="Times New Roman"/>
          <w:color w:val="000000"/>
          <w:sz w:val="24"/>
        </w:rPr>
        <w:t>) arising out of or in connection with any Transaction Document (including a dispute relating to the existence, validity or termination of this Master Framework Agreement or any non-contractual obligation arising out of or in connection with such document) or the consequences of its nullity.</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20. </w:t>
      </w:r>
      <w:r>
        <w:rPr>
          <w:rFonts w:ascii="Times New Roman" w:hAnsi="Times New Roman"/>
          <w:color w:val="000000"/>
          <w:sz w:val="24"/>
          <w:u w:val="single"/>
        </w:rPr>
        <w:t>Convenient Forum.</w:t>
      </w:r>
      <w:r>
        <w:rPr>
          <w:rFonts w:ascii="Times New Roman" w:hAnsi="Times New Roman"/>
          <w:color w:val="000000"/>
          <w:sz w:val="24"/>
        </w:rPr>
        <w:t xml:space="preserve"> Unless otherwise specified, the parties agree that the courts of England and Wales sitting in London are the most appropriate and convenient courts to settle Disputes between them and, accordingly, that they will not argue to the contrary.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SCHEDULE 3</w:t>
      </w:r>
    </w:p>
    <w:p>
      <w:pPr>
        <w:pStyle w:val="Heading1"/>
        <w:bidi w:val="0"/>
        <w:jc w:val="center"/>
        <w:rPr>
          <w:rFonts w:ascii="Times New Roman" w:hAnsi="Times New Roman"/>
          <w:color w:val="000000"/>
          <w:sz w:val="24"/>
        </w:rPr>
      </w:pPr>
      <w:r>
        <w:rPr>
          <w:rFonts w:ascii="Times New Roman" w:hAnsi="Times New Roman"/>
          <w:color w:val="000000"/>
          <w:sz w:val="24"/>
        </w:rPr>
        <w:t>REPRESENTATIONS AND WARRANTIES</w:t>
      </w:r>
    </w:p>
    <w:p>
      <w:pPr>
        <w:pStyle w:val="Heading2"/>
        <w:bidi w:val="0"/>
        <w:spacing w:before="240" w:after="283"/>
        <w:jc w:val="center"/>
        <w:rPr>
          <w:rFonts w:ascii="Times New Roman" w:hAnsi="Times New Roman"/>
          <w:color w:val="000000"/>
          <w:sz w:val="24"/>
        </w:rPr>
      </w:pPr>
      <w:r>
        <w:rPr>
          <w:rFonts w:ascii="Times New Roman" w:hAnsi="Times New Roman"/>
          <w:color w:val="000000"/>
          <w:sz w:val="24"/>
        </w:rPr>
        <w:t>Part 1</w:t>
      </w:r>
    </w:p>
    <w:p>
      <w:pPr>
        <w:pStyle w:val="TextBody"/>
        <w:bidi w:val="0"/>
        <w:jc w:val="center"/>
        <w:rPr>
          <w:rFonts w:ascii="Times New Roman" w:hAnsi="Times New Roman"/>
          <w:sz w:val="24"/>
        </w:rPr>
      </w:pPr>
      <w:r>
        <w:rPr>
          <w:rFonts w:ascii="Times New Roman" w:hAnsi="Times New Roman"/>
          <w:b/>
          <w:color w:val="000000"/>
          <w:sz w:val="24"/>
        </w:rPr>
        <w:t>Representations</w:t>
      </w:r>
      <w:r>
        <w:rPr>
          <w:rFonts w:ascii="Times New Roman" w:hAnsi="Times New Roman"/>
          <w:color w:val="000000"/>
          <w:sz w:val="24"/>
        </w:rPr>
        <w:t xml:space="preserve"> </w:t>
      </w:r>
      <w:r>
        <w:rPr>
          <w:rFonts w:ascii="Times New Roman" w:hAnsi="Times New Roman"/>
          <w:b/>
          <w:color w:val="000000"/>
          <w:sz w:val="24"/>
        </w:rPr>
        <w:t>and</w:t>
      </w:r>
      <w:r>
        <w:rPr>
          <w:rFonts w:ascii="Times New Roman" w:hAnsi="Times New Roman"/>
          <w:color w:val="000000"/>
          <w:sz w:val="24"/>
        </w:rPr>
        <w:t xml:space="preserve"> </w:t>
      </w:r>
      <w:r>
        <w:rPr>
          <w:rFonts w:ascii="Times New Roman" w:hAnsi="Times New Roman"/>
          <w:b/>
          <w:color w:val="000000"/>
          <w:sz w:val="24"/>
        </w:rPr>
        <w:t>Warranties</w:t>
      </w:r>
      <w:r>
        <w:rPr>
          <w:rFonts w:ascii="Times New Roman" w:hAnsi="Times New Roman"/>
          <w:color w:val="000000"/>
          <w:sz w:val="24"/>
        </w:rPr>
        <w:t xml:space="preserve"> </w:t>
      </w:r>
      <w:r>
        <w:rPr>
          <w:rFonts w:ascii="Times New Roman" w:hAnsi="Times New Roman"/>
          <w:b/>
          <w:color w:val="000000"/>
          <w:sz w:val="24"/>
        </w:rPr>
        <w:t>of</w:t>
      </w:r>
      <w:r>
        <w:rPr>
          <w:rFonts w:ascii="Times New Roman" w:hAnsi="Times New Roman"/>
          <w:color w:val="000000"/>
          <w:sz w:val="24"/>
        </w:rPr>
        <w:t xml:space="preserve"> </w:t>
      </w:r>
      <w:r>
        <w:rPr>
          <w:rFonts w:ascii="Times New Roman" w:hAnsi="Times New Roman"/>
          <w:b/>
          <w:color w:val="000000"/>
          <w:sz w:val="24"/>
        </w:rPr>
        <w:t>the</w:t>
      </w:r>
      <w:r>
        <w:rPr>
          <w:rFonts w:ascii="Times New Roman" w:hAnsi="Times New Roman"/>
          <w:color w:val="000000"/>
          <w:sz w:val="24"/>
        </w:rPr>
        <w:t xml:space="preserve"> </w:t>
      </w:r>
      <w:r>
        <w:rPr>
          <w:rFonts w:ascii="Times New Roman" w:hAnsi="Times New Roman"/>
          <w:b/>
          <w:color w:val="000000"/>
          <w:sz w:val="24"/>
        </w:rPr>
        <w:t>Seller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Seller represents and warrants to each Purchaser Party as of the Closing Date, on each Settlement Date and on each day on which an Investment or Release shall have occurred: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Organization and Good Standing</w:t>
      </w:r>
      <w:r>
        <w:rPr>
          <w:rFonts w:ascii="Times New Roman" w:hAnsi="Times New Roman"/>
          <w:color w:val="000000"/>
          <w:sz w:val="24"/>
        </w:rPr>
        <w:t>. The Seller is a designated activity company duly organized and validly existing in under the laws of Ireland and has full power and authority under its constitutional documents and under the laws of Ireland to own its properties and to conduct its business as such properties are currently owned and such business is presently conducted.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Due Qualification</w:t>
      </w:r>
      <w:r>
        <w:rPr>
          <w:rFonts w:ascii="Times New Roman" w:hAnsi="Times New Roman"/>
          <w:color w:val="000000"/>
          <w:sz w:val="24"/>
        </w:rPr>
        <w:t>. The Seller has obtained all necessary licenses and approvals in all jurisdictions in which the conduct of its business requires such qualification, licenses or approvals, except where the failure to do so could not reasonably be expected to have a Material Adverse Effect.</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Miscellaneous Tax Representation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The Seller shall have it registered and only office in Ireland and shall operate its business from and within Ireland only and shall not have any branch, agency, fixed place of business or permanent establishment outside of Ireland;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All meetings of the Seller’s board of directors shall be held in Ireland and shall take place and be conducted in accordance with the constitutional documents of the Seller;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Telephone meetings of the board of directors of the Seller may only be held with the majority of those directors participating by telephone or by any other means of communication, doing so from Ireland and not from any other country;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 Full minutes shall be taken of each meeting of the board of directors of the Seller which accurately reflect such meeting;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 Each decision relating to the strategic management at the highest level of the Seller shall be taken by the board of directors of the Seller at a properly constituted meeting held in Ireland;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 The Seller shall procure that the board of directors of the Seller will act independently in the exercise of their functions and will not merely uncritically endorse decisions effectively already taken by a person outside of Ireland, but rather will give due consideration to decisions including the entering into of any agreements based on information given to them;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(vii) The Seller shall procure that the board of directors of the Seller is and shall at all times be made up of persons: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each of whom, except for Kevin Higgins, are resident solely in Ireland for Irish tax purposes;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each of whom has the appropriate knowledge and experience to be a director of the Seller, having regard to the transactions into which it is intended that the Seller, shall enter;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(viii) The Seller shall procure that the board of directors of the Seller will meet at least quarterly, the frequency of meetings reflecting the level of activity of the Seller and the amount of transactions being undertaken at a particular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(ix) The Seller will not acquire "specified mortgages" within the meaning of Section 110(5A) of the TCA, units in an Irish real estate fund within the meaning of Chapter 1B of Part 27 of the TCA or shares that derive their value or the greater part of their value directly or indirectly from Irish real estate;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 The Seller is not in possession or aware of information that could reasonably be taken to indicate that any payment of interest or other distribution by it would be made otherwise than for, or the security to which the payment relates, were not entered into for bona fide commercial purposes of form part of a scheme or arrangement the main purpose or one of the main purposes of which is the avoidance of tax;</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(xi) Aside from the Parent, Ashland and the Swiss Originator, no person is included in the same consolidated financial statements prepared under international accounting standards or Irish GAAP as the Seller and would not otherwise be included in the same consolidated financial statements if such consolidated financial statements were prepared under international accounting standards or Irish GAAP.</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(xii) No entity has the ability to participate on the board of directors of the Seller in its financial and operating policy decisions including where that power does not extend to control or joint control of the Seller.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(xiii) To the best of its knowledge, any of the Sellers profits, income or gains its recognises for tax purposes in respect of purchased Receivables or otherwise will consist of amounts which are Interest Equivalent within the meaning of section 835AY of the TCA.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(xiv) The Seller is acquiring and selling the Receivables in the ordinary course of its business.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(xv) All the Seller’s issued share capital is held by the Parent.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(d) </w:t>
      </w:r>
      <w:r>
        <w:rPr>
          <w:rFonts w:ascii="Times New Roman" w:hAnsi="Times New Roman"/>
          <w:color w:val="000000"/>
          <w:sz w:val="24"/>
          <w:u w:val="single"/>
        </w:rPr>
        <w:t>Power and Authority; Due Authorization</w:t>
      </w:r>
      <w:r>
        <w:rPr>
          <w:rFonts w:ascii="Times New Roman" w:hAnsi="Times New Roman"/>
          <w:color w:val="000000"/>
          <w:sz w:val="24"/>
        </w:rPr>
        <w:t xml:space="preserve">. The Seller (i) has all necessary power and authority to (A) execute and deliver this Agreement and the other Transaction Documents to which it is a party, (B) perform its obligations under this Agreement and the other Transaction Documents to which it is a party and (C) charge and assign and otherwise grant security in the Sold Assets and Seller Collateral to the Administrative Agent on the terms and subject to the conditions herein provided and (ii) has duly authorized by all necessary company action such grant and the execution, delivery and performance of, and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consummation of the transactions provided for in, this Agreement and the other Transaction Documents to which it is a party.</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(e) </w:t>
      </w:r>
      <w:r>
        <w:rPr>
          <w:rFonts w:ascii="Times New Roman" w:hAnsi="Times New Roman"/>
          <w:color w:val="000000"/>
          <w:sz w:val="24"/>
          <w:u w:val="single"/>
        </w:rPr>
        <w:t>Binding Obligations</w:t>
      </w:r>
      <w:r>
        <w:rPr>
          <w:rFonts w:ascii="Times New Roman" w:hAnsi="Times New Roman"/>
          <w:color w:val="000000"/>
          <w:sz w:val="24"/>
        </w:rPr>
        <w:t>. This Agreement and each of the other Transaction Documents to which the Seller is a party constitutes the legal, valid and binding obligations of the Seller, enforceable against the Seller in accordance with their respective terms, except (i) as such enforceability may be limited by applicable bankruptcy, 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(f) </w:t>
      </w:r>
      <w:r>
        <w:rPr>
          <w:rFonts w:ascii="Times New Roman" w:hAnsi="Times New Roman"/>
          <w:color w:val="000000"/>
          <w:sz w:val="24"/>
          <w:u w:val="single"/>
        </w:rPr>
        <w:t>No Conflict or Violation</w:t>
      </w:r>
      <w:r>
        <w:rPr>
          <w:rFonts w:ascii="Times New Roman" w:hAnsi="Times New Roman"/>
          <w:color w:val="000000"/>
          <w:sz w:val="24"/>
        </w:rPr>
        <w:t>. The execution, delivery and performance of, and the consummation of the transactions contemplated by, this Agreement and the other Transaction Documents to which the Seller is a party, and the fulfillment of the terms hereof and thereof, will not (i) conflict with, result in any breach of any of the terms or provisions of, or constitute (with or without notice or lapse of time or both) a default under its organizational documents or any indenture, sale agreement, credit agreement, loan agreement, security agreement, mortgage, deed of trust, or other agreement or instrument to which the Seller is a party or by which it or any of its properties is bound, (ii) result in the creation or imposition of any Adverse Claim upon any of the Sold Assets or Seller Collateral pursuant to the terms of any such indenture, credit agreement, loan agreement, security agreement, mortgage, deed of trust, or other agreement or instrument other than this Agreement and the other Transaction Documents or (iii) conflict with or violate any Applicable Law, except to the extent that any such conflict, breach, default, Adverse Claim or violation could not reasonably be expected to have a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(g) </w:t>
      </w:r>
      <w:r>
        <w:rPr>
          <w:rFonts w:ascii="Times New Roman" w:hAnsi="Times New Roman"/>
          <w:color w:val="000000"/>
          <w:sz w:val="24"/>
          <w:u w:val="single"/>
        </w:rPr>
        <w:t>Action, Suit</w:t>
      </w:r>
      <w:r>
        <w:rPr>
          <w:rFonts w:ascii="Times New Roman" w:hAnsi="Times New Roman"/>
          <w:color w:val="000000"/>
          <w:sz w:val="24"/>
        </w:rPr>
        <w:t>. The Seller is not in violation of any order of any Governmental Authority that would, individually or in the aggregate with all such other violations, reasonably be expected to have a Material Adverse Effect. There are no actions, suits, litigation or proceedings pending or, to its knowledge, threatened in writing against or affecting it or any of its Affiliates or their respective properties, in or before any Governmental Authority, as to which there is a reasonable possibility of an adverse determination and that, if adversely determined, would, individually or in the aggregate, reasonably be expected to have a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(h) </w:t>
      </w:r>
      <w:r>
        <w:rPr>
          <w:rFonts w:ascii="Times New Roman" w:hAnsi="Times New Roman"/>
          <w:color w:val="000000"/>
          <w:sz w:val="24"/>
          <w:u w:val="single"/>
        </w:rPr>
        <w:t>Governmental Approvals</w:t>
      </w:r>
      <w:r>
        <w:rPr>
          <w:rFonts w:ascii="Times New Roman" w:hAnsi="Times New Roman"/>
          <w:color w:val="000000"/>
          <w:sz w:val="24"/>
        </w:rPr>
        <w:t>. Except where the failure to obtain or make such authorization, consent, order, approval or action could not reasonably be expected to have a Material Adverse Effect, all authorizations, consents, orders and approvals of, or other actions by, any Governmental Authority that are required to be obtained by the Seller in connection with the grant of a security interest in the Sold Assets or Seller Collateral to the Administrative Agent pursuant to the Transaction Documents or the due execution, delivery and performance by the Seller of this Agreement or any other Transaction Document to which it is a party and the consummation by the Seller of the transactions contemplated by this Agreement and the other Transaction Documents to which it is a party have been obtained or made and are in full force and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 </w:t>
      </w:r>
      <w:r>
        <w:rPr>
          <w:rFonts w:ascii="Times New Roman" w:hAnsi="Times New Roman"/>
          <w:color w:val="000000"/>
          <w:sz w:val="24"/>
          <w:u w:val="single"/>
        </w:rPr>
        <w:t>Margin Regulations</w:t>
      </w:r>
      <w:r>
        <w:rPr>
          <w:rFonts w:ascii="Times New Roman" w:hAnsi="Times New Roman"/>
          <w:color w:val="000000"/>
          <w:sz w:val="24"/>
        </w:rPr>
        <w:t>. The Seller is not engaged, principally or as one of its important activities, in the business of extending credit for the purpose of purchasing or carrying margin stock (within the meanings of Regulations T, U and X of the Board of Governors of the Federal Reserve System).</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(j) </w:t>
      </w:r>
      <w:r>
        <w:rPr>
          <w:rFonts w:ascii="Times New Roman" w:hAnsi="Times New Roman"/>
          <w:color w:val="000000"/>
          <w:sz w:val="24"/>
          <w:u w:val="single"/>
        </w:rPr>
        <w:t>Solvency</w:t>
      </w:r>
      <w:r>
        <w:rPr>
          <w:rFonts w:ascii="Times New Roman" w:hAnsi="Times New Roman"/>
          <w:color w:val="000000"/>
          <w:sz w:val="24"/>
        </w:rPr>
        <w:t>. After giving effect to the transactions contemplated by this Agreement and the other Transaction Documents, the Seller is Solvent.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(k) </w:t>
      </w:r>
      <w:r>
        <w:rPr>
          <w:rFonts w:ascii="Times New Roman" w:hAnsi="Times New Roman"/>
          <w:color w:val="000000"/>
          <w:sz w:val="24"/>
          <w:u w:val="single"/>
        </w:rPr>
        <w:t>Disclosure</w:t>
      </w:r>
      <w:r>
        <w:rPr>
          <w:rFonts w:ascii="Times New Roman" w:hAnsi="Times New Roman"/>
          <w:color w:val="000000"/>
          <w:sz w:val="24"/>
        </w:rPr>
        <w:t>. The Seller has disclosed to the Administrative Agent and the Purchaser Parties all agreements, instruments and corporate or other restrictions to which it is subject, and all other matters known to it, that, individually or in the aggregate, could reasonably be expected to result in a Material Adverse Effect. No report, financial statement, certificate or other information furnished (whether in writing or orally) by the Seller to the Administrative Agent or any Purchaser Party in connection with the transactions contemplated hereby and the negotiation of this Agreement or delivered hereunder or under any other Transaction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provided that, with respect to projected financial information, the Seller represents only that such information was prepared in good faith based upon assumptions believed to be reasonable at the time.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(l) </w:t>
      </w:r>
      <w:r>
        <w:rPr>
          <w:rFonts w:ascii="Times New Roman" w:hAnsi="Times New Roman"/>
          <w:color w:val="000000"/>
          <w:sz w:val="24"/>
          <w:u w:val="single"/>
        </w:rPr>
        <w:t>Offices; Legal Name</w:t>
      </w:r>
      <w:r>
        <w:rPr>
          <w:rFonts w:ascii="Times New Roman" w:hAnsi="Times New Roman"/>
          <w:color w:val="000000"/>
          <w:sz w:val="24"/>
        </w:rPr>
        <w:t>. The legal name of the Seller is Ashland International Receivables Designated Activity Company. The registered office of the Seller is Ground Floor, Two Dockland Central, Guild Street, North Dock, Dublin 1, D01 K2C5, Ireland. The centre of main interests (as that term is used in Article 3(1) of the Retained Regulation) of the Seller is located in Ireland and the Seller has not had an “establishment” (as that term is used in Article 2(10) of the Retained Regulation) (or any equivalent provision(s) of any applicable successor to the Retained Regulation or the Regulation, respectively which may apply from time to time to the Seller) in a jurisdiction other than Ireland.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(m) </w:t>
      </w:r>
      <w:r>
        <w:rPr>
          <w:rFonts w:ascii="Times New Roman" w:hAnsi="Times New Roman"/>
          <w:color w:val="000000"/>
          <w:sz w:val="24"/>
          <w:u w:val="single"/>
        </w:rPr>
        <w:t>Investment Company Act; Volcker Rule</w:t>
      </w:r>
      <w:r>
        <w:rPr>
          <w:rFonts w:ascii="Times New Roman" w:hAnsi="Times New Roman"/>
          <w:color w:val="000000"/>
          <w:sz w:val="24"/>
        </w:rPr>
        <w:t>. The Seller (i) is not, and is not controlled by, an “investment company” registered or required to be registered under the Investment Company Act and (ii) is not a “covered fund” under the Volcker Rule. In determining that the Seller is not a “covered fund” under the Volcker Rule, the Seller relies on, and is entitled to rely on, the exemption from the definition of “investment company” set forth in Section 3(c)(5) of the Investment Company Act.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(n) </w:t>
      </w:r>
      <w:r>
        <w:rPr>
          <w:rFonts w:ascii="Times New Roman" w:hAnsi="Times New Roman"/>
          <w:color w:val="000000"/>
          <w:sz w:val="24"/>
          <w:u w:val="single"/>
        </w:rPr>
        <w:t>No Material Adverse Effect</w:t>
      </w:r>
      <w:r>
        <w:rPr>
          <w:rFonts w:ascii="Times New Roman" w:hAnsi="Times New Roman"/>
          <w:color w:val="000000"/>
          <w:sz w:val="24"/>
        </w:rPr>
        <w:t>. Since the date of formation of the Seller there has been no Material Adverse Effect with respect to the Seller.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(o) </w:t>
      </w:r>
      <w:r>
        <w:rPr>
          <w:rFonts w:ascii="Times New Roman" w:hAnsi="Times New Roman"/>
          <w:color w:val="000000"/>
          <w:sz w:val="24"/>
          <w:u w:val="single"/>
        </w:rPr>
        <w:t>Accuracy of Information</w:t>
      </w:r>
      <w:r>
        <w:rPr>
          <w:rFonts w:ascii="Times New Roman" w:hAnsi="Times New Roman"/>
          <w:color w:val="000000"/>
          <w:sz w:val="24"/>
        </w:rPr>
        <w:t xml:space="preserve">. None of the written information (including e-mail) heretofore, contemporaneously or hereafter furnished by the Seller, the Performance Guarantor, the Servicer, any Originator or any of their respective agents or advisors to any Purchaser, any Group Agent or the Administrative Agent for purposes of or in connection with any Transaction Document (including in respect of the Receivables) or any transaction contemplated hereby or thereby contains or will contain any statement which is untrue or misleading in any material respect on the date as of which such information is provided, dated or certified, and no such item of information contains or will contain any untrue statement of material fact or omits or will omit to state a material fact necessary in order to make the statements contained therein, in the light of the circumstances under which they were made, not misleading, as the case may be; </w:t>
      </w:r>
      <w:r>
        <w:rPr>
          <w:rFonts w:ascii="Times New Roman" w:hAnsi="Times New Roman"/>
          <w:color w:val="000000"/>
          <w:sz w:val="24"/>
          <w:u w:val="single"/>
        </w:rPr>
        <w:t>provided</w:t>
      </w:r>
      <w:r>
        <w:rPr>
          <w:rFonts w:ascii="Times New Roman" w:hAnsi="Times New Roman"/>
          <w:color w:val="000000"/>
          <w:sz w:val="24"/>
        </w:rPr>
        <w:t xml:space="preserve"> that any such information delivered subsequent to any other written information and on the same subject matter shall, solely to the extent each such item of information is delivered to the same addressee, supersede such earlier delivered information unless the Seller, the Performance Guarantor, the applicable Originator or the Servicer shall expressly state otherwise in writing. No written information (including e-mail)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(subject to the proviso of the preceding sentence) contained in any report or certificate delivered pursuant to this Agreement or any other Transaction Document shall omit to state any material fact necessary to make the statements contained therein not misleading on the date as of which such information is dated or certified. With respect to any projections, budgets and other forward looking financial information, it is understood and agreed that (i) any forward-looking information furnished by the Seller, the Performance Guarantor, any Originator or the Servicer is subject to inherent uncertainties and contingencies, which may be beyond the control of such Person, (ii) no assurance is given by the Seller, the Performance Guarantor, any Originator or the Servicer that the results or forecast in any such forward-looking information will be realized and (iii) the actual results may differ from the forecast results set forth in such forward-looking information and such differences may be material. Furthermore, no representation or warranty is made with respect to information of a general economic or general industry nature. Notwithstanding anything in the forgoing paragraph, it is understood and agreed that this </w:t>
      </w:r>
      <w:r>
        <w:rPr>
          <w:rFonts w:ascii="Times New Roman" w:hAnsi="Times New Roman"/>
          <w:color w:val="000000"/>
          <w:sz w:val="24"/>
          <w:u w:val="single"/>
        </w:rPr>
        <w:t>paragraph (n)</w:t>
      </w:r>
      <w:r>
        <w:rPr>
          <w:rFonts w:ascii="Times New Roman" w:hAnsi="Times New Roman"/>
          <w:color w:val="000000"/>
          <w:sz w:val="24"/>
        </w:rPr>
        <w:t xml:space="preserve"> shall not apply to any matters addressed by paragraph (v).</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(p) </w:t>
      </w:r>
      <w:r>
        <w:rPr>
          <w:rFonts w:ascii="Times New Roman" w:hAnsi="Times New Roman"/>
          <w:color w:val="000000"/>
          <w:sz w:val="24"/>
          <w:u w:val="single"/>
        </w:rPr>
        <w:t>Anti-Money Laundering/International Trade Law Compliance</w:t>
      </w:r>
      <w:r>
        <w:rPr>
          <w:rFonts w:ascii="Times New Roman" w:hAnsi="Times New Roman"/>
          <w:color w:val="000000"/>
          <w:sz w:val="24"/>
        </w:rPr>
        <w:t>. No Covered Entity is a Sanctioned Person. No Covered Entity, either in its own right or through any third party, (i) has any of its assets in a Sanctioned Jurisdiction or in the possession, custody or control of a Sanctioned Person in violation of any Anti-Terrorism Law; (ii) does business in or with, or derives any of its income from investments in or transactions with, any Sanctioned Jurisdiction or Sanctioned Person in violation of any Anti-Terrorism Law; or (iii) engages in any dealings or transactions prohibited by any Anti-Terrorism Law.</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(q) </w:t>
      </w:r>
      <w:r>
        <w:rPr>
          <w:rFonts w:ascii="Times New Roman" w:hAnsi="Times New Roman"/>
          <w:color w:val="000000"/>
          <w:sz w:val="24"/>
          <w:u w:val="single"/>
        </w:rPr>
        <w:t>Anti-Corruption Laws</w:t>
      </w:r>
      <w:r>
        <w:rPr>
          <w:rFonts w:ascii="Times New Roman" w:hAnsi="Times New Roman"/>
          <w:color w:val="000000"/>
          <w:sz w:val="24"/>
        </w:rPr>
        <w:t>. The Seller has conducted its businesses in compliance in all material respects with Anti-Corruption Laws.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(r) </w:t>
      </w:r>
      <w:r>
        <w:rPr>
          <w:rFonts w:ascii="Times New Roman" w:hAnsi="Times New Roman"/>
          <w:color w:val="000000"/>
          <w:sz w:val="24"/>
          <w:u w:val="single"/>
        </w:rPr>
        <w:t>Transaction Information</w:t>
      </w:r>
      <w:r>
        <w:rPr>
          <w:rFonts w:ascii="Times New Roman" w:hAnsi="Times New Roman"/>
          <w:color w:val="000000"/>
          <w:sz w:val="24"/>
        </w:rPr>
        <w:t>. None of the Seller, any Affiliate of the Seller or any third party with which the Seller or any Affiliate thereof has contracted, has delivered, in writing or orally, to any Rating Agency, any Transaction Information without providing such Transaction Information to the applicable Group Agent prior to delivery to such Rating Agency and has not participated in any oral communications with respect to Transaction Information with any Rating Agency without inviting such Group Agent to participate in such oral communications.</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(s) </w:t>
      </w:r>
      <w:r>
        <w:rPr>
          <w:rFonts w:ascii="Times New Roman" w:hAnsi="Times New Roman"/>
          <w:color w:val="000000"/>
          <w:sz w:val="24"/>
          <w:u w:val="single"/>
        </w:rPr>
        <w:t>Perfection Representations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The UK Security Agreement is in full force and effect and creates in favour of the Administrative Agent for the benefit of the Secured Parties the Security interest which it is expressed to create which (X) ownership or security interests are valid and effective, subject to standard legal reservations and (Y) will be free of all Adverse Claims in such Sold Assets and Seller Collateral;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Prior to the sale and assignment of, or grant of security interest in, the Sold Assets and Seller Collateral under the UK Security Agreement, the Seller owns and has good and marketable title to such Sold Assets and Seller Collateral free and clear of any Adverse Claim of any Person. After giving effect to the sale and assignment of, or grant of security interest in, the Sold Assets and Seller Collateral pursuant to the Transaction Documents, the Administrative Agent owns or has a first priority security interest with full title guarantee in the Sold Assets and Seller Collateral free and clear of any Adverse Claim of any Person;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All appropriate registrations, financing statements, financing statement amendments and continuation statements have been filed in the proper filing office in the appropriate jurisdictions under Applicable Law in order to perfect (and continue the perfection of) the sale, assignment and contribution of the Receivables and Related Security from each Originator to the Seller pursuant to the Purchase and Sale Agreements and the Seller’s sale and assignment of, and grant of a security interest in, the Sold Assets and Seller Collateral to the Administrative Agent pursuant to the Receivables Purchase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 Other than the security interest granted to the Administrative Agent pursuant to the Transaction Documents, the Seller has not pledged, assigned, sold, granted a security interest in, or otherwise conveyed any of the Sold Assets or Seller Collateral except as permitted by this Agreement and the other Transaction Documents. The Seller has not authorized the filing of and is not aware of any financing statements or security interests filed against the Seller that include a description of collateral covering the Sold Assets or Seller Collateral other than any financing statement or security interests (i) in favour of the Administrative Agent or (ii) that has been terminated. The Seller is not aware of any judgment lien, ERISA lien or tax lien filings against the Seller; and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(v) Notwithstanding any other provision of this Agreement or any other Transaction Document, the representations contained in this paragraph </w:t>
      </w:r>
      <w:r>
        <w:rPr>
          <w:rFonts w:ascii="Times New Roman" w:hAnsi="Times New Roman"/>
          <w:color w:val="000000"/>
          <w:sz w:val="24"/>
          <w:u w:val="single"/>
        </w:rPr>
        <w:t>(s)</w:t>
      </w:r>
      <w:r>
        <w:rPr>
          <w:rFonts w:ascii="Times New Roman" w:hAnsi="Times New Roman"/>
          <w:color w:val="000000"/>
          <w:sz w:val="24"/>
        </w:rPr>
        <w:t xml:space="preserve"> shall be continuing and remain in full force and effect until the Final Payout Date;</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(t) </w:t>
      </w:r>
      <w:r>
        <w:rPr>
          <w:rFonts w:ascii="Times New Roman" w:hAnsi="Times New Roman"/>
          <w:color w:val="000000"/>
          <w:sz w:val="24"/>
          <w:u w:val="single"/>
        </w:rPr>
        <w:t>The Collection Accounts</w:t>
      </w:r>
      <w:r>
        <w:rPr>
          <w:rFonts w:ascii="Times New Roman" w:hAnsi="Times New Roman"/>
          <w:color w:val="000000"/>
          <w:sz w:val="24"/>
        </w:rPr>
        <w:t>.</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(i) </w:t>
      </w:r>
      <w:r>
        <w:rPr>
          <w:rFonts w:ascii="Times New Roman" w:hAnsi="Times New Roman"/>
          <w:color w:val="000000"/>
          <w:sz w:val="24"/>
          <w:u w:val="single"/>
        </w:rPr>
        <w:t>Ownership</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Each Collection Account is in the name of the relevant Originator, and the applicable Originator owns and has good and marketable title to the relevant Collection Accounts free and clear of any Adverse Claim.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The Seller Collection Accounts are in the name of the Seller, and the Seller owns and has good and marketable title to the relevant Seller Collection Accounts free and clear of any Adverse Claim.</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(ii) </w:t>
      </w:r>
      <w:r>
        <w:rPr>
          <w:rFonts w:ascii="Times New Roman" w:hAnsi="Times New Roman"/>
          <w:color w:val="000000"/>
          <w:sz w:val="24"/>
          <w:u w:val="single"/>
        </w:rPr>
        <w:t>Perfection</w:t>
      </w:r>
      <w:r>
        <w:rPr>
          <w:rFonts w:ascii="Times New Roman" w:hAnsi="Times New Roman"/>
          <w:color w:val="000000"/>
          <w:sz w:val="24"/>
        </w:rPr>
        <w:t>. The Seller has delivered to the Administrative Agent a fully executed Collection Account Declaration of Trust or Collection Account Pledge Agreement relating to each Collection Account, pursuant to which each applicable Collection Account Bank has agreed to comply with the instructions originated by the Administrative Agent directing the disposition of funds in such Collection Account without further consent by the Seller, the Servicer or any other Person.</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(iii) </w:t>
      </w:r>
      <w:r>
        <w:rPr>
          <w:rFonts w:ascii="Times New Roman" w:hAnsi="Times New Roman"/>
          <w:color w:val="000000"/>
          <w:sz w:val="24"/>
          <w:u w:val="single"/>
        </w:rPr>
        <w:t>Instructions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 The Collection Accounts are not in the name of any Person other than the relevant Originator. Neither the Seller, the Performance Guarantor, the relevant Originator nor the Servicer has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consented to the applicable Collection Account Bank complying with instructions of any Person other than the Administrative Agent.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The Seller Collection Accounts are not in the name of any Person other than the Seller. The Seller has not consented to the Collection Account Bank complying with instructions of any Person other than the Administrative Agent in respect of the Seller Collection Accounts.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(iv) </w:t>
      </w:r>
      <w:r>
        <w:rPr>
          <w:rFonts w:ascii="Times New Roman" w:hAnsi="Times New Roman"/>
          <w:color w:val="000000"/>
          <w:sz w:val="24"/>
          <w:u w:val="single"/>
        </w:rPr>
        <w:t>Target balancing arrangement</w:t>
      </w:r>
      <w:r>
        <w:rPr>
          <w:rFonts w:ascii="Times New Roman" w:hAnsi="Times New Roman"/>
          <w:color w:val="000000"/>
          <w:sz w:val="24"/>
        </w:rPr>
        <w:t>. The Seller Collection Accounts are not subject to any target balancing arrangements or similar arrangements, and the Seller has not consented to any target balancing arrangement in respect of the Seller Collection Accounts.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(u) </w:t>
      </w:r>
      <w:r>
        <w:rPr>
          <w:rFonts w:ascii="Times New Roman" w:hAnsi="Times New Roman"/>
          <w:color w:val="000000"/>
          <w:sz w:val="24"/>
          <w:u w:val="single"/>
        </w:rPr>
        <w:t>Ordinary Course of Business.</w:t>
      </w:r>
      <w:r>
        <w:rPr>
          <w:rFonts w:ascii="Times New Roman" w:hAnsi="Times New Roman"/>
          <w:color w:val="000000"/>
          <w:sz w:val="24"/>
        </w:rPr>
        <w:t xml:space="preserve"> Each remittance of Collections by or on behalf of the Seller to the Purchaser Parties under any Transaction Document will have been (i) in payment of an obligation incurred by the Seller in the ordinary course of business or financial affairs of the Seller and (ii) made in the ordinary course of business or financial affairs of the Seller.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(v) </w:t>
      </w:r>
      <w:r>
        <w:rPr>
          <w:rFonts w:ascii="Times New Roman" w:hAnsi="Times New Roman"/>
          <w:color w:val="000000"/>
          <w:sz w:val="24"/>
          <w:u w:val="single"/>
        </w:rPr>
        <w:t>Compliance with Law.</w:t>
      </w:r>
      <w:r>
        <w:rPr>
          <w:rFonts w:ascii="Times New Roman" w:hAnsi="Times New Roman"/>
          <w:color w:val="000000"/>
          <w:sz w:val="24"/>
        </w:rPr>
        <w:t xml:space="preserve"> The Seller has complied with all Applicable Laws to which it may be subject except to the extent any noncompliance, individually or in the aggregate, would not be reasonably likely to have a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(w) </w:t>
      </w:r>
      <w:r>
        <w:rPr>
          <w:rFonts w:ascii="Times New Roman" w:hAnsi="Times New Roman"/>
          <w:color w:val="000000"/>
          <w:sz w:val="24"/>
          <w:u w:val="single"/>
        </w:rPr>
        <w:t>Eligible Receivables</w:t>
      </w:r>
      <w:r>
        <w:rPr>
          <w:rFonts w:ascii="Times New Roman" w:hAnsi="Times New Roman"/>
          <w:color w:val="000000"/>
          <w:sz w:val="24"/>
        </w:rPr>
        <w:t>. Each Receivable included as an Eligible Receivable in the calculation of the Net Receivables Pool Balance as of any date is an Eligible Receivable as of such date.</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(x) </w:t>
      </w:r>
      <w:r>
        <w:rPr>
          <w:rFonts w:ascii="Times New Roman" w:hAnsi="Times New Roman"/>
          <w:color w:val="000000"/>
          <w:sz w:val="24"/>
          <w:u w:val="single"/>
        </w:rPr>
        <w:t>Taxes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The Seller has (i) timely filed all Tax returns required to be filed by it and (ii) paid, or caused to be paid, all Taxes, assessments and other governmental charges, if any, other than Taxes, assessments and other governmental charges being contested in good faith by appropriate proceedings and as to which adequate reserves have been provided in accordance with GAAP.</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The Seller is not required to make any withholding or deduction on account of Tax from any payment of interest it may make (or be deemed to make) under any Transaction Document to a person that is a Qualifying Person.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Under the Laws of the Seller's jurisdiction of incorporation and Tax residence it is not necessary that any stamp, registration or similar Tax be paid on or in relation to any Transaction Document or any transaction contemplated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 The Seller is not required to account to any Governmental Authority for any VAT in respect of the sale by it of any Receivable and no withholding or other Tax is deductible or payable on any payment made by an Obligor with respect to any Receivable.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(y) </w:t>
      </w:r>
      <w:r>
        <w:rPr>
          <w:rFonts w:ascii="Times New Roman" w:hAnsi="Times New Roman"/>
          <w:color w:val="000000"/>
          <w:sz w:val="24"/>
          <w:u w:val="single"/>
        </w:rPr>
        <w:t>Tax Status</w:t>
      </w:r>
      <w:r>
        <w:rPr>
          <w:rFonts w:ascii="Times New Roman" w:hAnsi="Times New Roman"/>
          <w:color w:val="000000"/>
          <w:sz w:val="24"/>
        </w:rPr>
        <w:t>. The Seller is, and shall at all relevant times continue to be a designated activity company limited by shares incorporated under the Companies Act 2014 of Ireland and intends to be and will be a "qualifying company" for the purposes of Section 110 of the TCA which is resident for applicable Tax purposes solely in Ireland, does not have a permanent establishment or other taxable presence outside Ireland and is not registered as a member of a VAT group.</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(z) </w:t>
      </w:r>
      <w:r>
        <w:rPr>
          <w:rFonts w:ascii="Times New Roman" w:hAnsi="Times New Roman"/>
          <w:color w:val="000000"/>
          <w:sz w:val="24"/>
          <w:u w:val="single"/>
        </w:rPr>
        <w:t>Opinions</w:t>
      </w:r>
      <w:r>
        <w:rPr>
          <w:rFonts w:ascii="Times New Roman" w:hAnsi="Times New Roman"/>
          <w:color w:val="000000"/>
          <w:sz w:val="24"/>
        </w:rPr>
        <w:t>. The facts regarding the Seller, the Servicer, each Originator, each Performance Guarantor, the Receivables, the Related Security and the related matters set forth or assumed in each of the opinions of counsel delivered in connection with this Agreement and the Transaction Documents are true and correct in all material respects.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(aa) </w:t>
      </w:r>
      <w:r>
        <w:rPr>
          <w:rFonts w:ascii="Times New Roman" w:hAnsi="Times New Roman"/>
          <w:color w:val="000000"/>
          <w:sz w:val="24"/>
          <w:u w:val="single"/>
        </w:rPr>
        <w:t>Other Transaction Documents</w:t>
      </w:r>
      <w:r>
        <w:rPr>
          <w:rFonts w:ascii="Times New Roman" w:hAnsi="Times New Roman"/>
          <w:color w:val="000000"/>
          <w:sz w:val="24"/>
        </w:rPr>
        <w:t>. Each representation and warranty made by the Seller under each other Transaction Document to which it is a party is true and correct in all material respects as of the date when made.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(bb) </w:t>
      </w:r>
      <w:r>
        <w:rPr>
          <w:rFonts w:ascii="Times New Roman" w:hAnsi="Times New Roman"/>
          <w:color w:val="000000"/>
          <w:sz w:val="24"/>
          <w:u w:val="single"/>
        </w:rPr>
        <w:t>Liquidity Coverage Ratio</w:t>
      </w:r>
      <w:r>
        <w:rPr>
          <w:rFonts w:ascii="Times New Roman" w:hAnsi="Times New Roman"/>
          <w:color w:val="000000"/>
          <w:sz w:val="24"/>
        </w:rPr>
        <w:t>. The Seller does not, does not and will not during the Receivables Purchase Agreement issue any LCR Security. The Seller further represents and warrants that its assets and liabilities are consolidated with the assets and liabilities of Ashland for purposes of GAAP.</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(cc) </w:t>
      </w:r>
      <w:r>
        <w:rPr>
          <w:rFonts w:ascii="Times New Roman" w:hAnsi="Times New Roman"/>
          <w:color w:val="000000"/>
          <w:sz w:val="24"/>
          <w:u w:val="single"/>
        </w:rPr>
        <w:t>Certificate of Beneficial Ownership</w:t>
      </w:r>
      <w:r>
        <w:rPr>
          <w:rFonts w:ascii="Times New Roman" w:hAnsi="Times New Roman"/>
          <w:color w:val="000000"/>
          <w:sz w:val="24"/>
        </w:rPr>
        <w:t>. The Certificate of Beneficial Ownership executed and delivered to the Administrative Agent and the Purchasers for the Seller on or prior to the Closing Date, as updated from time to time in accordance with the Receivables Purchase Agreement, is accurate, complete and correct as of the Closing Date and as of the date any such update is delivered. The Seller acknowledges and agrees that the Certificate of Beneficial Ownership is one of the Transaction Documents.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(dd) </w:t>
      </w:r>
      <w:r>
        <w:rPr>
          <w:rFonts w:ascii="Times New Roman" w:hAnsi="Times New Roman"/>
          <w:color w:val="000000"/>
          <w:sz w:val="24"/>
          <w:u w:val="single"/>
        </w:rPr>
        <w:t>Beneficial Ownership Regulation.</w:t>
      </w:r>
      <w:r>
        <w:rPr>
          <w:rFonts w:ascii="Times New Roman" w:hAnsi="Times New Roman"/>
          <w:color w:val="000000"/>
          <w:sz w:val="24"/>
        </w:rPr>
        <w:t xml:space="preserve"> As of the Closing Date, the Seller is an entity that at least 51% of whose common stock or analogous equity interest is owned directly or indirectly by a company listed on the New York Stock Exchange or the American Stock Exchange or designated as a NASDAQ National Market Security listed on the NASDAQ stock exchange and is excluded on that basis from the definition of “Legal Entity Customer” as defined in the Beneficial Ownership Regulation.</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(ee) </w:t>
      </w:r>
      <w:r>
        <w:rPr>
          <w:rFonts w:ascii="Times New Roman" w:hAnsi="Times New Roman"/>
          <w:color w:val="000000"/>
          <w:sz w:val="24"/>
          <w:u w:val="single"/>
        </w:rPr>
        <w:t>ERISA.</w:t>
      </w:r>
      <w:r>
        <w:rPr>
          <w:rFonts w:ascii="Times New Roman" w:hAnsi="Times New Roman"/>
          <w:color w:val="000000"/>
          <w:sz w:val="24"/>
        </w:rPr>
        <w:t xml:space="preserve"> No steps have been taken by any Person to terminate any Pension Plan the assets of which are not sufficient to satisfy all of its benefit liabilities (as determined under Title IV of ERISA), no contribution failure has occurred or is expected to occur with respect to any Pension Plan sufficient to give rise to a lien under Section 302(f) of ERISA, and each Pension Plan has been administered in all material respects in compliance with its terms and applicable provision of ERISA and the Code. Neither the Seller nor any ERISA Affiliate has any material liability to a Multiemployer Plan.</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(ff) </w:t>
      </w:r>
      <w:r>
        <w:rPr>
          <w:rFonts w:ascii="Times New Roman" w:hAnsi="Times New Roman"/>
          <w:color w:val="000000"/>
          <w:sz w:val="24"/>
          <w:u w:val="single"/>
        </w:rPr>
        <w:t>Data Protection Law.</w:t>
      </w:r>
      <w:r>
        <w:rPr>
          <w:rFonts w:ascii="Times New Roman" w:hAnsi="Times New Roman"/>
          <w:color w:val="000000"/>
          <w:sz w:val="24"/>
        </w:rPr>
        <w:t xml:space="preserve"> If and to the extent Data Protection laws apply to personal data processed (as defined in the relevant Data Protection Laws) by any party in connection with the performance of their obligations under, or in connection with, the Transaction Documents, where the Seller has provided personal data (as defined in the relevant Data Protection Laws) to the Administrative Agent and/or the Purchasers, it has provided all notices required to, and obtained all consents (if required by the relevant Data Protection Laws) from, data subjects (as defined in the relevant Data Protection Laws) to enable use, disclosure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and processing of such personal data (as defined in the relevant Data Protection Laws) by the Seller, the Administrative Agent and the Purchasers in accordance with its relevant obligations under applicable Data Protection Laws for the purposes contemplated under the Transaction Documents.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(gg) </w:t>
      </w:r>
      <w:r>
        <w:rPr>
          <w:rFonts w:ascii="Times New Roman" w:hAnsi="Times New Roman"/>
          <w:color w:val="000000"/>
          <w:sz w:val="24"/>
          <w:u w:val="single"/>
        </w:rPr>
        <w:t>Transaction not fraudulent, undervalue, preference or unprofitable.</w:t>
      </w:r>
      <w:r>
        <w:rPr>
          <w:rFonts w:ascii="Times New Roman" w:hAnsi="Times New Roman"/>
          <w:color w:val="000000"/>
          <w:sz w:val="24"/>
        </w:rPr>
        <w:t xml:space="preserve"> The execution, delivery and performance of the consummation of the transaction contemplated by this Agreement and the Transaction Documents to which the Seller is a party will not give rise to a transaction at an undervalue, an unfair preference, an extortionate credit transaction or a conveyance of property made with the intent to defraud creditors and is not otherwise void or voidable under any bankruptcy or insolvency laws or for any other reason.</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(hh) </w:t>
      </w:r>
      <w:r>
        <w:rPr>
          <w:rFonts w:ascii="Times New Roman" w:hAnsi="Times New Roman"/>
          <w:color w:val="000000"/>
          <w:sz w:val="24"/>
          <w:u w:val="single"/>
        </w:rPr>
        <w:t>Reaffirmation of Representations and Warranties</w:t>
      </w:r>
      <w:r>
        <w:rPr>
          <w:rFonts w:ascii="Times New Roman" w:hAnsi="Times New Roman"/>
          <w:i/>
          <w:color w:val="000000"/>
          <w:sz w:val="24"/>
        </w:rPr>
        <w:t>.</w:t>
      </w:r>
      <w:r>
        <w:rPr>
          <w:rFonts w:ascii="Times New Roman" w:hAnsi="Times New Roman"/>
          <w:color w:val="000000"/>
          <w:sz w:val="24"/>
        </w:rPr>
        <w:t xml:space="preserve"> On the date of each Investment, on the date of each Release, on each Settlement Date and on the date each Information Package, Weekly Report or other report is delivered to the Administrative Agent or any Group Agent pursuant to the Receivables Purchase Agreement, the Seller shall be deemed to have certified that (i) all representations and warranties of the Seller hereunder are true and correct in all material respects on and as of such day as though made on and as of such day, except for representations and warranties which apply as to an earlier date (in which case such representations and warranties shall be true and correct in all material respects as of such date) and (ii) no Event of Termination or an Unmatured Event of Termination has occurred and is continuing or will result from such Investment or Release.</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(ii) </w:t>
      </w:r>
      <w:r>
        <w:rPr>
          <w:rFonts w:ascii="Times New Roman" w:hAnsi="Times New Roman"/>
          <w:color w:val="000000"/>
          <w:sz w:val="24"/>
          <w:u w:val="single"/>
        </w:rPr>
        <w:t>Affected Financial Institution.</w:t>
      </w:r>
      <w:r>
        <w:rPr>
          <w:rFonts w:ascii="Times New Roman" w:hAnsi="Times New Roman"/>
          <w:color w:val="000000"/>
          <w:sz w:val="24"/>
        </w:rPr>
        <w:t xml:space="preserve"> No Seller Party is an Affected Financial</w:t>
      </w:r>
    </w:p>
    <w:p>
      <w:pPr>
        <w:pStyle w:val="TextBody"/>
        <w:bidi w:val="0"/>
        <w:jc w:val="left"/>
        <w:rPr>
          <w:rFonts w:ascii="Times New Roman" w:hAnsi="Times New Roman"/>
          <w:color w:val="000000"/>
          <w:sz w:val="24"/>
        </w:rPr>
      </w:pPr>
      <w:r>
        <w:rPr>
          <w:rFonts w:ascii="Times New Roman" w:hAnsi="Times New Roman"/>
          <w:color w:val="000000"/>
          <w:sz w:val="24"/>
        </w:rPr>
        <w:t>Institution.</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(jj) </w:t>
      </w:r>
      <w:r>
        <w:rPr>
          <w:rFonts w:ascii="Times New Roman" w:hAnsi="Times New Roman"/>
          <w:color w:val="000000"/>
          <w:sz w:val="24"/>
          <w:u w:val="single"/>
        </w:rPr>
        <w:t>UK Receivables</w:t>
      </w:r>
      <w:r>
        <w:rPr>
          <w:rFonts w:ascii="Times New Roman" w:hAnsi="Times New Roman"/>
          <w:color w:val="000000"/>
          <w:sz w:val="24"/>
        </w:rPr>
        <w:t>. The percentage of Unsold Receivables that are UK</w:t>
      </w:r>
    </w:p>
    <w:p>
      <w:pPr>
        <w:pStyle w:val="TextBody"/>
        <w:bidi w:val="0"/>
        <w:jc w:val="both"/>
        <w:rPr>
          <w:rFonts w:ascii="Times New Roman" w:hAnsi="Times New Roman"/>
          <w:color w:val="000000"/>
          <w:sz w:val="24"/>
        </w:rPr>
      </w:pPr>
      <w:r>
        <w:rPr>
          <w:rFonts w:ascii="Times New Roman" w:hAnsi="Times New Roman"/>
          <w:color w:val="000000"/>
          <w:sz w:val="24"/>
        </w:rPr>
        <w:t>Receivables shall not be greater than 25%.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any other provision of this Agreement or any other Transaction Document, the representations and warranties contained in this Section shall be continuing, and remain in full force and effect until the Final Payout Date.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center"/>
        <w:rPr>
          <w:rFonts w:ascii="Times New Roman" w:hAnsi="Times New Roman"/>
          <w:color w:val="000000"/>
          <w:sz w:val="24"/>
        </w:rPr>
      </w:pPr>
      <w:r>
        <w:rPr>
          <w:rFonts w:ascii="Times New Roman" w:hAnsi="Times New Roman"/>
          <w:color w:val="000000"/>
          <w:sz w:val="24"/>
        </w:rPr>
        <w:t>Part 2</w:t>
      </w:r>
    </w:p>
    <w:p>
      <w:pPr>
        <w:pStyle w:val="TextBody"/>
        <w:bidi w:val="0"/>
        <w:jc w:val="center"/>
        <w:rPr>
          <w:rFonts w:ascii="Times New Roman" w:hAnsi="Times New Roman"/>
          <w:sz w:val="24"/>
        </w:rPr>
      </w:pPr>
      <w:r>
        <w:rPr>
          <w:rFonts w:ascii="Times New Roman" w:hAnsi="Times New Roman"/>
          <w:b/>
          <w:color w:val="000000"/>
          <w:sz w:val="24"/>
        </w:rPr>
        <w:t>Representations</w:t>
      </w:r>
      <w:r>
        <w:rPr>
          <w:rFonts w:ascii="Times New Roman" w:hAnsi="Times New Roman"/>
          <w:color w:val="000000"/>
          <w:sz w:val="24"/>
        </w:rPr>
        <w:t xml:space="preserve"> </w:t>
      </w:r>
      <w:r>
        <w:rPr>
          <w:rFonts w:ascii="Times New Roman" w:hAnsi="Times New Roman"/>
          <w:b/>
          <w:color w:val="000000"/>
          <w:sz w:val="24"/>
        </w:rPr>
        <w:t>and</w:t>
      </w:r>
      <w:r>
        <w:rPr>
          <w:rFonts w:ascii="Times New Roman" w:hAnsi="Times New Roman"/>
          <w:color w:val="000000"/>
          <w:sz w:val="24"/>
        </w:rPr>
        <w:t xml:space="preserve"> </w:t>
      </w:r>
      <w:r>
        <w:rPr>
          <w:rFonts w:ascii="Times New Roman" w:hAnsi="Times New Roman"/>
          <w:b/>
          <w:color w:val="000000"/>
          <w:sz w:val="24"/>
        </w:rPr>
        <w:t>Warranties</w:t>
      </w:r>
      <w:r>
        <w:rPr>
          <w:rFonts w:ascii="Times New Roman" w:hAnsi="Times New Roman"/>
          <w:color w:val="000000"/>
          <w:sz w:val="24"/>
        </w:rPr>
        <w:t xml:space="preserve"> </w:t>
      </w:r>
      <w:r>
        <w:rPr>
          <w:rFonts w:ascii="Times New Roman" w:hAnsi="Times New Roman"/>
          <w:b/>
          <w:color w:val="000000"/>
          <w:sz w:val="24"/>
        </w:rPr>
        <w:t>of</w:t>
      </w:r>
      <w:r>
        <w:rPr>
          <w:rFonts w:ascii="Times New Roman" w:hAnsi="Times New Roman"/>
          <w:color w:val="000000"/>
          <w:sz w:val="24"/>
        </w:rPr>
        <w:t xml:space="preserve"> </w:t>
      </w:r>
      <w:r>
        <w:rPr>
          <w:rFonts w:ascii="Times New Roman" w:hAnsi="Times New Roman"/>
          <w:b/>
          <w:color w:val="000000"/>
          <w:sz w:val="24"/>
        </w:rPr>
        <w:t>the</w:t>
      </w:r>
      <w:r>
        <w:rPr>
          <w:rFonts w:ascii="Times New Roman" w:hAnsi="Times New Roman"/>
          <w:color w:val="000000"/>
          <w:sz w:val="24"/>
        </w:rPr>
        <w:t xml:space="preserve"> </w:t>
      </w:r>
      <w:r>
        <w:rPr>
          <w:rFonts w:ascii="Times New Roman" w:hAnsi="Times New Roman"/>
          <w:b/>
          <w:color w:val="000000"/>
          <w:sz w:val="24"/>
        </w:rPr>
        <w:t>Servicer</w:t>
      </w:r>
      <w:r>
        <w:rPr>
          <w:rFonts w:ascii="Times New Roman" w:hAnsi="Times New Roman"/>
          <w:color w:val="000000"/>
          <w:sz w:val="24"/>
        </w:rPr>
        <w:t xml:space="preserve"> </w:t>
      </w:r>
      <w:r>
        <w:rPr>
          <w:rFonts w:ascii="Times New Roman" w:hAnsi="Times New Roman"/>
          <w:b/>
          <w:color w:val="000000"/>
          <w:sz w:val="24"/>
        </w:rPr>
        <w:t>and</w:t>
      </w:r>
      <w:r>
        <w:rPr>
          <w:rFonts w:ascii="Times New Roman" w:hAnsi="Times New Roman"/>
          <w:color w:val="000000"/>
          <w:sz w:val="24"/>
        </w:rPr>
        <w:t xml:space="preserve"> </w:t>
      </w:r>
      <w:r>
        <w:rPr>
          <w:rFonts w:ascii="Times New Roman" w:hAnsi="Times New Roman"/>
          <w:b/>
          <w:color w:val="000000"/>
          <w:sz w:val="24"/>
        </w:rPr>
        <w:t>Ashland</w:t>
      </w:r>
      <w:r>
        <w:rPr>
          <w:rFonts w:ascii="Times New Roman" w:hAnsi="Times New Roman"/>
          <w:color w:val="000000"/>
          <w:sz w:val="24"/>
        </w:rPr>
        <w:t xml:space="preserve"> </w:t>
      </w:r>
      <w:r>
        <w:rPr>
          <w:rFonts w:ascii="Times New Roman" w:hAnsi="Times New Roman"/>
          <w:b/>
          <w:color w:val="000000"/>
          <w:sz w:val="24"/>
        </w:rPr>
        <w:t>Sub-Servicers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Servicer and each Ashland Sub-Servicer represents and warrants (on behalf of and in respect of itself) to each Purchaser Party as of the Closing Date, on each Settlement Date and on each day on which an Investment, Issuance or Release shall have occurred: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Organization and Good Standing</w:t>
      </w:r>
      <w:r>
        <w:rPr>
          <w:rFonts w:ascii="Times New Roman" w:hAnsi="Times New Roman"/>
          <w:color w:val="000000"/>
          <w:sz w:val="24"/>
        </w:rPr>
        <w:t>. The Servicer and each Ashland Sub-Servicer is a duly organized and validly existing limited liability company and (where applicable) in good standing under the laws of the jurisdiction of its incorporation or formation, with the power and authority under its organizational documents and under the laws of its jurisdiction of formation to own its properties and to conduct its business as such properties are currently owned and such business is presently conducted.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Due Qualification.</w:t>
      </w:r>
      <w:r>
        <w:rPr>
          <w:rFonts w:ascii="Times New Roman" w:hAnsi="Times New Roman"/>
          <w:color w:val="000000"/>
          <w:sz w:val="24"/>
        </w:rPr>
        <w:t xml:space="preserve"> The Servicer and each Ashland Sub-Servicer is duly qualified to do business, (where applicable) is in good standing as a foreign entity and has obtained all necessary licenses and approvals in all jurisdictions in which the conduct of its business or the servicing of the Pool Receivables as required by any applicable Transaction Document requires such qualification, licenses or approvals, except where the failure to do so could not reasonably be expected to have a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Power and Authority; Due Authorization.</w:t>
      </w:r>
      <w:r>
        <w:rPr>
          <w:rFonts w:ascii="Times New Roman" w:hAnsi="Times New Roman"/>
          <w:color w:val="000000"/>
          <w:sz w:val="24"/>
        </w:rPr>
        <w:t xml:space="preserve"> The Servicer and each Ashland Sub-Servicer has all necessary power and authority to (i) execute and deliver the Transaction Documents to which it is a party and (ii) perform its obligations under the Transaction Documents to which it is a party and the execution, delivery and performance of, and the consummation of the transactions provided for in, the Transaction Documents to which it is a party have been duly authorized by the Servicer and each Ashland Sub-Servicer (as applicable) by all necessary action.</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(d) </w:t>
      </w:r>
      <w:r>
        <w:rPr>
          <w:rFonts w:ascii="Times New Roman" w:hAnsi="Times New Roman"/>
          <w:color w:val="000000"/>
          <w:sz w:val="24"/>
          <w:u w:val="single"/>
        </w:rPr>
        <w:t>Binding Obligations.</w:t>
      </w:r>
      <w:r>
        <w:rPr>
          <w:rFonts w:ascii="Times New Roman" w:hAnsi="Times New Roman"/>
          <w:color w:val="000000"/>
          <w:sz w:val="24"/>
        </w:rPr>
        <w:t xml:space="preserve"> This Agreement and each of the other Transaction Documents to which it is a party constitutes legal, valid and binding obligations of the Servicer and each Ashland Sub-Servicer, enforceable against the Servicer and each Ashland Sub-Servicer (as applicable) in accordance with their respective terms, except (i) as such enforceability may be limited by applicable bankruptcy, 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(e) </w:t>
      </w:r>
      <w:r>
        <w:rPr>
          <w:rFonts w:ascii="Times New Roman" w:hAnsi="Times New Roman"/>
          <w:color w:val="000000"/>
          <w:sz w:val="24"/>
          <w:u w:val="single"/>
        </w:rPr>
        <w:t>No Conflict or Violation.</w:t>
      </w:r>
      <w:r>
        <w:rPr>
          <w:rFonts w:ascii="Times New Roman" w:hAnsi="Times New Roman"/>
          <w:color w:val="000000"/>
          <w:sz w:val="24"/>
        </w:rPr>
        <w:t xml:space="preserve"> The execution and delivery of this Agreement and each other Transaction Document to which the Servicer and/or such Ashland Sub-Servicer is a party, the performance of the transactions contemplated by this Agreement and the other Transaction Documents and the fulfillment of the terms of this Agreement and the other Transaction Documents by the Servicer and each Ashland Sub-Servicer will not (i) conflict with, result in any breach of any of the terms or provisions of, or constitute (with or without notice or lapse of time or both) a default under, the organizational documents of the Servicer or any Ashland Sub-Servicer or any indenture, sale agreement, credit agreement, loan agreement, security agreement, mortgage, deed of trust or other agreement or instrument to which the Servicer or any Ashland Sub-Servicer is a party or by which it or any of its property is bound, (ii) result in the creation or imposition of any Adverse Claim upon any of the Sold Assets or Seller Collateral pursuant to the terms of any such indenture, credit agreement, loan agreement, security agreement, mortgage, deed of trust or other agreement or instrument, other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than the Transaction Documents or (iii) conflict with or violate any Applicable Law, except to the extent that any such conflict, breach, default, Adverse Claim or violation could not reasonably be expected to have a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(f) </w:t>
      </w:r>
      <w:r>
        <w:rPr>
          <w:rFonts w:ascii="Times New Roman" w:hAnsi="Times New Roman"/>
          <w:color w:val="000000"/>
          <w:sz w:val="24"/>
          <w:u w:val="single"/>
        </w:rPr>
        <w:t>Action, Suit.</w:t>
      </w:r>
      <w:r>
        <w:rPr>
          <w:rFonts w:ascii="Times New Roman" w:hAnsi="Times New Roman"/>
          <w:color w:val="000000"/>
          <w:sz w:val="24"/>
        </w:rPr>
        <w:t xml:space="preserve"> The Servicer and each Ashland Sub-Servicer is not in violation of any order of any Governmental Authority that would, individually or in the aggregate with all such other violations, reasonably be expected to have a Material Adverse Effect. There are no actions, suits, litigation or proceedings pending or, to its knowledge, threatened in writing against or affecting it or any of its Affiliates or their respective properties, in or before any Governmental Authority, as to which there is a reasonable possibility of an adverse determination and that, if adversely determined, would, individually or in the aggregate, reasonably be expected to have a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(g) </w:t>
      </w:r>
      <w:r>
        <w:rPr>
          <w:rFonts w:ascii="Times New Roman" w:hAnsi="Times New Roman"/>
          <w:color w:val="000000"/>
          <w:sz w:val="24"/>
          <w:u w:val="single"/>
        </w:rPr>
        <w:t>Environmental Compliance</w:t>
      </w:r>
      <w:r>
        <w:rPr>
          <w:rFonts w:ascii="Times New Roman" w:hAnsi="Times New Roman"/>
          <w:color w:val="000000"/>
          <w:sz w:val="24"/>
        </w:rPr>
        <w:t>. The Servicer and each Ashland Sub-Servicer conducts in the ordinary course of business a review of the effect of existing Environmental Laws and claims alleging potential liability or responsibility for violation of any Environmental Law on its businesses, operations and properties. Such Environmental Laws and claims could not, individually or in the aggregate, reasonably be expected to have a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(h) </w:t>
      </w:r>
      <w:r>
        <w:rPr>
          <w:rFonts w:ascii="Times New Roman" w:hAnsi="Times New Roman"/>
          <w:color w:val="000000"/>
          <w:sz w:val="24"/>
          <w:u w:val="single"/>
        </w:rPr>
        <w:t>Intellectual Property; Licenses etc.</w:t>
      </w:r>
      <w:r>
        <w:rPr>
          <w:rFonts w:ascii="Times New Roman" w:hAnsi="Times New Roman"/>
          <w:color w:val="000000"/>
          <w:sz w:val="24"/>
        </w:rPr>
        <w:t>. The Servicer and each Ashland Sub-Servicer owns, or possesses the right to use, all of the IP Rights that are reasonably necessary for the operation of its businesses, without conflict with the rights of any other Person. To the best knowledge of the Servicer and/or such Ashland Sub-Servicer, no product, service, process, method, substance, part or other material now used, or now contemplated to be used, by the Servicer or such Ashland Sub-Servicer infringes, misappropriates or otherwise violates upon any rights held by any other Person. No claim or litigation regarding any of the foregoing is pending or, to the best knowledge of the Servicer and/or such Ashland Sub-Servicer, threatened, which, either individually or in the aggregate, could reasonably be expected to have a Material Adverse Effect. To the best knowledge of the Servicer, there has been no unauthorized use, access, interruption, modification, corruption or malfunction of any information technology assets or systems (or any information or transactions stored or contained therein or transmitted thereby) owned or used by the Servicer and/or such Ashland Sub-Servicer, which, either individually or in the aggregate, would reasonably be expected to have a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 </w:t>
      </w:r>
      <w:r>
        <w:rPr>
          <w:rFonts w:ascii="Times New Roman" w:hAnsi="Times New Roman"/>
          <w:color w:val="000000"/>
          <w:sz w:val="24"/>
          <w:u w:val="single"/>
        </w:rPr>
        <w:t>Disclosure</w:t>
      </w:r>
      <w:r>
        <w:rPr>
          <w:rFonts w:ascii="Times New Roman" w:hAnsi="Times New Roman"/>
          <w:color w:val="000000"/>
          <w:sz w:val="24"/>
        </w:rPr>
        <w:t>. The Servicer and each Ashland Sub-Servicer has disclosed to the Administrative Agent and the Purchaser Parties all agreements, instruments and corporate or other restrictions to which it is subject, and all other matters known to it, that, individually or in the aggregate, could reasonably be expected to result in a Material Adverse Effect. No report, financial statement, certificate or other information furnished (whether in writing or orally) by the Servicer and/or such Ashland-Sub-Servicer to the Administrative Agent or any Purchaser Party in connection with the transactions contemplated hereby and the negotiation of this Agreement or delivered hereunder or under any other Transaction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provided that, with respect to projected financial information, the Servicer and each Ashland Sub-Servicer represents only that such information was prepared in good faith based upon assumptions believed to be reasonable at the time.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(j) </w:t>
      </w:r>
      <w:r>
        <w:rPr>
          <w:rFonts w:ascii="Times New Roman" w:hAnsi="Times New Roman"/>
          <w:color w:val="000000"/>
          <w:sz w:val="24"/>
          <w:u w:val="single"/>
        </w:rPr>
        <w:t>No Consents.</w:t>
      </w:r>
      <w:r>
        <w:rPr>
          <w:rFonts w:ascii="Times New Roman" w:hAnsi="Times New Roman"/>
          <w:color w:val="000000"/>
          <w:sz w:val="24"/>
        </w:rPr>
        <w:t xml:space="preserve"> The Servicer and each Ashland Sub-Servicer is not required to obtain the consent of any other party or any consent, license, approval, registration, authorization or declaration of or with any Governmental Authority in connection with the execution, delivery, or performance of this Agreement or any other Transaction Document to which it is a party that has not already been obtained, except where the failure to obtain such consent, license, approval, registration, authorization or declaration could not reasonably be expected to have a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(k) </w:t>
      </w:r>
      <w:r>
        <w:rPr>
          <w:rFonts w:ascii="Times New Roman" w:hAnsi="Times New Roman"/>
          <w:color w:val="000000"/>
          <w:sz w:val="24"/>
          <w:u w:val="single"/>
        </w:rPr>
        <w:t>Compliance with Applicable Law</w:t>
      </w:r>
      <w:r>
        <w:rPr>
          <w:rFonts w:ascii="Times New Roman" w:hAnsi="Times New Roman"/>
          <w:color w:val="000000"/>
          <w:sz w:val="24"/>
        </w:rPr>
        <w:t>. The Servicer and each Ashland Sub-Servicer (i) shall duly satisfy all obligations on its part to be fulfilled under or in connection with the Pool Receivables and the related Contracts, (ii) has maintained in effect all qualifications required under Applicable Law in order to properly service the Pool Receivables and (iii) has complied in all material respects with all Applicable Laws in connection with servicing the Pool Receivables, except to the extent any noncompliance, individually or in the aggregate, would not be reasonably likely to have a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(l) </w:t>
      </w:r>
      <w:r>
        <w:rPr>
          <w:rFonts w:ascii="Times New Roman" w:hAnsi="Times New Roman"/>
          <w:color w:val="000000"/>
          <w:sz w:val="24"/>
          <w:u w:val="single"/>
        </w:rPr>
        <w:t>Accuracy of Information.</w:t>
      </w:r>
      <w:r>
        <w:rPr>
          <w:rFonts w:ascii="Times New Roman" w:hAnsi="Times New Roman"/>
          <w:color w:val="000000"/>
          <w:sz w:val="24"/>
        </w:rPr>
        <w:t xml:space="preserve"> None of the written information (including e-mail) heretofore, contemporaneously or hereafter furnished by the Seller, the Servicer, any Ashland Sub-Servicer, any Originator or any of their respective agents or advisors to any Purchaser, any Group Agent, or the Administrative Agent for purposes of or in connection with any Transaction Document (including in respect of the Receivables) or any transaction contemplated hereby or thereby contains or will contain any statement which is untrue or misleading in any material respect on the date as of which such information is provided, dated or certified, and no such item of information contains or will contain any untrue statement of material fact or omits or will omit to state a material fact necessary in order to make the statements contained therein, in the light of the circumstances under which they were made, not misleading, as the case may be; </w:t>
      </w:r>
      <w:r>
        <w:rPr>
          <w:rFonts w:ascii="Times New Roman" w:hAnsi="Times New Roman"/>
          <w:color w:val="000000"/>
          <w:sz w:val="24"/>
          <w:u w:val="single"/>
        </w:rPr>
        <w:t>provided</w:t>
      </w:r>
      <w:r>
        <w:rPr>
          <w:rFonts w:ascii="Times New Roman" w:hAnsi="Times New Roman"/>
          <w:color w:val="000000"/>
          <w:sz w:val="24"/>
        </w:rPr>
        <w:t xml:space="preserve"> that any such information delivered subsequent to any other written information and on the same subject matter shall, solely to the extent each such item of information is delivered to the same addressee, supersede such earlier delivered information unless the Seller, the applicable Originator or the Servicer shall expressly state otherwise in writing. No written information (including e-mail) (subject to the proviso of the preceding sentence) contained in any report or certificate delivered pursuant to this Agreement or any other Transaction Document shall omit to state any material fact necessary to make the statements contained therein not misleading on the date as of which such information is dated or certified. With respect to any projections, budgets and other forward looking financial information, it is understood and agreed that (i) any forward-looking information furnished by the Seller, any Originator, the Servicer or any Ashland Sub-Servicer is subject to inherent uncertainties and contingencies, which may be beyond the control of such Person, (ii) no assurance is given by the Seller, any Originator, the Servicer or any Ashland Sub-Servicer that the results or forecast in any such forward-looking information will be realized and (iii) the actual results may differ from the forecast results set forth in such forward-looking information and such differences may be material. Furthermore, no representation or warranty is made with respect to information of a general economic or general industry nature. Notwithstanding anything in the forgoing paragraph, it is understood and agreed that this </w:t>
      </w:r>
      <w:r>
        <w:rPr>
          <w:rFonts w:ascii="Times New Roman" w:hAnsi="Times New Roman"/>
          <w:color w:val="000000"/>
          <w:sz w:val="24"/>
          <w:u w:val="single"/>
        </w:rPr>
        <w:t>paragraph (l)</w:t>
      </w:r>
      <w:r>
        <w:rPr>
          <w:rFonts w:ascii="Times New Roman" w:hAnsi="Times New Roman"/>
          <w:color w:val="000000"/>
          <w:sz w:val="24"/>
        </w:rPr>
        <w:t xml:space="preserve"> shall not apply to any matters addressed by </w:t>
      </w:r>
      <w:r>
        <w:rPr>
          <w:rFonts w:ascii="Times New Roman" w:hAnsi="Times New Roman"/>
          <w:color w:val="000000"/>
          <w:sz w:val="24"/>
          <w:u w:val="single"/>
        </w:rPr>
        <w:t>paragraph(o)</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(m) </w:t>
      </w:r>
      <w:r>
        <w:rPr>
          <w:rFonts w:ascii="Times New Roman" w:hAnsi="Times New Roman"/>
          <w:color w:val="000000"/>
          <w:sz w:val="24"/>
          <w:u w:val="single"/>
        </w:rPr>
        <w:t>Location of Records.</w:t>
      </w:r>
      <w:r>
        <w:rPr>
          <w:rFonts w:ascii="Times New Roman" w:hAnsi="Times New Roman"/>
          <w:color w:val="000000"/>
          <w:sz w:val="24"/>
        </w:rPr>
        <w:t xml:space="preserve"> The Servicer keeps all of its records relating to the servicing of the Pool Receivables stored electronically via a cloud-based document storage platform.</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(n) </w:t>
      </w:r>
      <w:r>
        <w:rPr>
          <w:rFonts w:ascii="Times New Roman" w:hAnsi="Times New Roman"/>
          <w:color w:val="000000"/>
          <w:sz w:val="24"/>
          <w:u w:val="single"/>
        </w:rPr>
        <w:t>Credit and Collection Policy.</w:t>
      </w:r>
      <w:r>
        <w:rPr>
          <w:rFonts w:ascii="Times New Roman" w:hAnsi="Times New Roman"/>
          <w:color w:val="000000"/>
          <w:sz w:val="24"/>
        </w:rPr>
        <w:t xml:space="preserve"> The Servicer and each Ashland Sub-Servicer has complied in all material respects with the Credit and Collection Policy with regard to each Pool Receivable and the related Contracts.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(o) </w:t>
      </w:r>
      <w:r>
        <w:rPr>
          <w:rFonts w:ascii="Times New Roman" w:hAnsi="Times New Roman"/>
          <w:color w:val="000000"/>
          <w:sz w:val="24"/>
          <w:u w:val="single"/>
        </w:rPr>
        <w:t>Eligible Receivables</w:t>
      </w:r>
      <w:r>
        <w:rPr>
          <w:rFonts w:ascii="Times New Roman" w:hAnsi="Times New Roman"/>
          <w:color w:val="000000"/>
          <w:sz w:val="24"/>
        </w:rPr>
        <w:t>. Each Receivable included as an Eligible Receivable in the calculation of the Net Receivables Pool Balance as of any date is an Eligible Receivable as of such date.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(p) </w:t>
      </w:r>
      <w:r>
        <w:rPr>
          <w:rFonts w:ascii="Times New Roman" w:hAnsi="Times New Roman"/>
          <w:color w:val="000000"/>
          <w:sz w:val="24"/>
          <w:u w:val="single"/>
        </w:rPr>
        <w:t>Servicing Programs</w:t>
      </w:r>
      <w:r>
        <w:rPr>
          <w:rFonts w:ascii="Times New Roman" w:hAnsi="Times New Roman"/>
          <w:color w:val="000000"/>
          <w:sz w:val="24"/>
        </w:rPr>
        <w:t>. No license or approval is required for the Administrative Agent’s use of any software or other computer program used by the Servicer, any Originator, any Ashland Sub-Servicer or any other Sub-Servicer in the servicing of the Pool Receivables, other than those which have been obtained and are in full force and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(q) </w:t>
      </w:r>
      <w:r>
        <w:rPr>
          <w:rFonts w:ascii="Times New Roman" w:hAnsi="Times New Roman"/>
          <w:color w:val="000000"/>
          <w:sz w:val="24"/>
          <w:u w:val="single"/>
        </w:rPr>
        <w:t>Servicing of Pool Receivables</w:t>
      </w:r>
      <w:r>
        <w:rPr>
          <w:rFonts w:ascii="Times New Roman" w:hAnsi="Times New Roman"/>
          <w:color w:val="000000"/>
          <w:sz w:val="24"/>
        </w:rPr>
        <w:t>. Since the Closing Date there has been no material adverse change in the ability of the Servicer, any Ashland Sub-Servicer or any other Sub-Servicer to service and collect the Pool Receivables and the Related Security.</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(r) </w:t>
      </w:r>
      <w:r>
        <w:rPr>
          <w:rFonts w:ascii="Times New Roman" w:hAnsi="Times New Roman"/>
          <w:color w:val="000000"/>
          <w:sz w:val="24"/>
          <w:u w:val="single"/>
        </w:rPr>
        <w:t>Other Transaction Documents</w:t>
      </w:r>
      <w:r>
        <w:rPr>
          <w:rFonts w:ascii="Times New Roman" w:hAnsi="Times New Roman"/>
          <w:color w:val="000000"/>
          <w:sz w:val="24"/>
        </w:rPr>
        <w:t>. Each representation and warranty made by the Servicer and each Ashland Sub-Servicer under each other Transaction Document to which it is a party (including, without limitation, the Purchase and Sale Agreement) is true and correct in all material respects as of the date when made.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 </w:t>
      </w:r>
      <w:r>
        <w:rPr>
          <w:rFonts w:ascii="Times New Roman" w:hAnsi="Times New Roman"/>
          <w:color w:val="000000"/>
          <w:sz w:val="24"/>
          <w:u w:val="single"/>
        </w:rPr>
        <w:t>Investment Company Act</w:t>
      </w:r>
      <w:r>
        <w:rPr>
          <w:rFonts w:ascii="Times New Roman" w:hAnsi="Times New Roman"/>
          <w:color w:val="000000"/>
          <w:sz w:val="24"/>
        </w:rPr>
        <w:t>. The Servicer and each Ashland Sub-Servicer is not an “investment company,” or a company “controlled” by an “investment company,” within the meaning of the Investment Company Act.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(t) </w:t>
      </w:r>
      <w:r>
        <w:rPr>
          <w:rFonts w:ascii="Times New Roman" w:hAnsi="Times New Roman"/>
          <w:color w:val="000000"/>
          <w:sz w:val="24"/>
          <w:u w:val="single"/>
        </w:rPr>
        <w:t>Anti-Money Laundering/International Trade Law Compliance</w:t>
      </w:r>
      <w:r>
        <w:rPr>
          <w:rFonts w:ascii="Times New Roman" w:hAnsi="Times New Roman"/>
          <w:color w:val="000000"/>
          <w:sz w:val="24"/>
        </w:rPr>
        <w:t>. No Covered Entity is a Sanctioned Person. No Covered Entity, either in its own right or through any third party, (i) has any of its assets in a Sanctioned Jurisdiction or in the possession, custody or control of a Sanctioned Person in violation of any Anti-Terrorism Law; (ii) does business in or with, or derives any of its income from investments in or transactions with, any Sanctioned Jurisdiction or Sanctioned Person in violation of any Anti-Terrorism Law; or (iii) engages in any dealings or transactions prohibited by any Anti-Terrorism Law.</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(u) </w:t>
      </w:r>
      <w:r>
        <w:rPr>
          <w:rFonts w:ascii="Times New Roman" w:hAnsi="Times New Roman"/>
          <w:color w:val="000000"/>
          <w:sz w:val="24"/>
          <w:u w:val="single"/>
        </w:rPr>
        <w:t>Anti-Corruption Laws</w:t>
      </w:r>
      <w:r>
        <w:rPr>
          <w:rFonts w:ascii="Times New Roman" w:hAnsi="Times New Roman"/>
          <w:color w:val="000000"/>
          <w:sz w:val="24"/>
        </w:rPr>
        <w:t>. The Servicer and each Ashland Sub-Servicer has conducted its businesses in compliance in all material respects with Anti-Corruption Laws.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(v) </w:t>
      </w:r>
      <w:r>
        <w:rPr>
          <w:rFonts w:ascii="Times New Roman" w:hAnsi="Times New Roman"/>
          <w:color w:val="000000"/>
          <w:sz w:val="24"/>
          <w:u w:val="single"/>
        </w:rPr>
        <w:t>Transaction Information</w:t>
      </w:r>
      <w:r>
        <w:rPr>
          <w:rFonts w:ascii="Times New Roman" w:hAnsi="Times New Roman"/>
          <w:color w:val="000000"/>
          <w:sz w:val="24"/>
        </w:rPr>
        <w:t>. Except as may be required by Applicable Law, none of the Servicer, any Affiliate of the Servicer or any third party with which the Servicer or any Affiliate thereof has contracted, has delivered, in writing or orally, to any Rating Agency, or monitoring a rating of, any Commercial Paper, any Transaction Information without providing such Transaction Information to the applicable Group Agent prior to delivery to such Rating Agency and has not participated in any oral communications with respect to Transaction Information with any Rating Agency without inviting such Group Agent to participate in such oral communications.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(w) </w:t>
      </w:r>
      <w:r>
        <w:rPr>
          <w:rFonts w:ascii="Times New Roman" w:hAnsi="Times New Roman"/>
          <w:color w:val="000000"/>
          <w:sz w:val="24"/>
          <w:u w:val="single"/>
        </w:rPr>
        <w:t>Taxes</w:t>
      </w:r>
      <w:r>
        <w:rPr>
          <w:rFonts w:ascii="Times New Roman" w:hAnsi="Times New Roman"/>
          <w:color w:val="000000"/>
          <w:sz w:val="24"/>
        </w:rPr>
        <w:t>. The Servicer and each Ashland Sub-Servicer has (i) timely filed all Tax returns (federal, state and local) required to be filed by it and (ii) paid, or caused to be paid, all Taxes, assessments and other governmental charges, if any, other than Taxes, assessments and other governmental charges being contested in good faith by appropriate proceedings and as to which adequate reserves have been provided in accordance with GAAP.</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(x) </w:t>
      </w:r>
      <w:r>
        <w:rPr>
          <w:rFonts w:ascii="Times New Roman" w:hAnsi="Times New Roman"/>
          <w:color w:val="000000"/>
          <w:sz w:val="24"/>
          <w:u w:val="single"/>
        </w:rPr>
        <w:t>Seller’s Tax Status</w:t>
      </w:r>
      <w:r>
        <w:rPr>
          <w:rFonts w:ascii="Times New Roman" w:hAnsi="Times New Roman"/>
          <w:color w:val="000000"/>
          <w:sz w:val="24"/>
        </w:rPr>
        <w:t>. The Seller is, and shall at all relevant times continue to be, a designated activity company limited by shares incorporated under the Companies Act 2014 of Ireland and a "qualifying company" for the purposes of Section 110 of the TCA which is resident for applicable Tax purposes solely in Ireland, does not have a permanent establishment or other taxable presence outside Ireland and is not registered as a member of a VAT group.</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(y) </w:t>
      </w:r>
      <w:r>
        <w:rPr>
          <w:rFonts w:ascii="Times New Roman" w:hAnsi="Times New Roman"/>
          <w:color w:val="000000"/>
          <w:sz w:val="24"/>
          <w:u w:val="single"/>
        </w:rPr>
        <w:t>Opinions</w:t>
      </w:r>
      <w:r>
        <w:rPr>
          <w:rFonts w:ascii="Times New Roman" w:hAnsi="Times New Roman"/>
          <w:color w:val="000000"/>
          <w:sz w:val="24"/>
        </w:rPr>
        <w:t>. The facts regarding the Seller, the Servicer, each Ashland Sub-Servicer, each Originator, each Performance Guarantor, the Receivables, the Related Security and the related matters set forth or assumed in each of the opinions of counsel delivered in connection with this Agreement and the Transaction Documents are true and correct in all material respects.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(z) </w:t>
      </w:r>
      <w:r>
        <w:rPr>
          <w:rFonts w:ascii="Times New Roman" w:hAnsi="Times New Roman"/>
          <w:color w:val="000000"/>
          <w:sz w:val="24"/>
          <w:u w:val="single"/>
        </w:rPr>
        <w:t>Other Transaction Documents</w:t>
      </w:r>
      <w:r>
        <w:rPr>
          <w:rFonts w:ascii="Times New Roman" w:hAnsi="Times New Roman"/>
          <w:color w:val="000000"/>
          <w:sz w:val="24"/>
        </w:rPr>
        <w:t>. Each representation and warranty made by the Servicer and each Ashland Sub-Servicer under each Transaction Document to which it is a party is true and correct in all material respects as of the date when made.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(aa) </w:t>
      </w:r>
      <w:r>
        <w:rPr>
          <w:rFonts w:ascii="Times New Roman" w:hAnsi="Times New Roman"/>
          <w:color w:val="000000"/>
          <w:sz w:val="24"/>
          <w:u w:val="single"/>
        </w:rPr>
        <w:t>No Servicer Default</w:t>
      </w:r>
      <w:r>
        <w:rPr>
          <w:rFonts w:ascii="Times New Roman" w:hAnsi="Times New Roman"/>
          <w:color w:val="000000"/>
          <w:sz w:val="24"/>
        </w:rPr>
        <w:t>. No event has occurred and is continuing and no condition exists which constitutes or may reasonably be expected to constitute a Servicer Default.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(bb) </w:t>
      </w:r>
      <w:r>
        <w:rPr>
          <w:rFonts w:ascii="Times New Roman" w:hAnsi="Times New Roman"/>
          <w:color w:val="000000"/>
          <w:sz w:val="24"/>
          <w:u w:val="single"/>
        </w:rPr>
        <w:t>VAT</w:t>
      </w:r>
      <w:r>
        <w:rPr>
          <w:rFonts w:ascii="Times New Roman" w:hAnsi="Times New Roman"/>
          <w:color w:val="000000"/>
          <w:sz w:val="24"/>
        </w:rPr>
        <w:t>. No Servicer or Ashland Sub-Servicer, in its capacity as Servicer or Ashland Sub-Servicer (as applicable), is required to account to any Governmental Authority for any VAT or similar Tax or any sales Tax in respect of the transactions contemplated hereunder and no withholding or other Tax is deductible or payable from any payment made by any Servicer and/or Sub-Servicer (as applicable) hereunder.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(cc) </w:t>
      </w:r>
      <w:r>
        <w:rPr>
          <w:rFonts w:ascii="Times New Roman" w:hAnsi="Times New Roman"/>
          <w:color w:val="000000"/>
          <w:sz w:val="24"/>
          <w:u w:val="single"/>
        </w:rPr>
        <w:t>ERISA.</w:t>
      </w:r>
      <w:r>
        <w:rPr>
          <w:rFonts w:ascii="Times New Roman" w:hAnsi="Times New Roman"/>
          <w:color w:val="000000"/>
          <w:sz w:val="24"/>
        </w:rPr>
        <w:t xml:space="preserve"> No steps have been taken by any Person to terminate any Pension Plan the assets of which are not sufficient to satisfy all of its benefit liabilities (as determined under Title IV of ERISA), no contribution failure has occurred or is expected to occur with respect to any Pension Plan sufficient to give rise to a lien under Section 302(f) of ERISA, and each Pension Plan has been administered in all material respects in compliance with its terms and applicable provision of ERISA and the Code.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(dd) </w:t>
      </w:r>
      <w:r>
        <w:rPr>
          <w:rFonts w:ascii="Times New Roman" w:hAnsi="Times New Roman"/>
          <w:color w:val="000000"/>
          <w:sz w:val="24"/>
          <w:u w:val="single"/>
        </w:rPr>
        <w:t>Reaffirmation of Representations and Warranties</w:t>
      </w:r>
      <w:r>
        <w:rPr>
          <w:rFonts w:ascii="Times New Roman" w:hAnsi="Times New Roman"/>
          <w:i/>
          <w:color w:val="000000"/>
          <w:sz w:val="24"/>
        </w:rPr>
        <w:t>.</w:t>
      </w:r>
      <w:r>
        <w:rPr>
          <w:rFonts w:ascii="Times New Roman" w:hAnsi="Times New Roman"/>
          <w:color w:val="000000"/>
          <w:sz w:val="24"/>
        </w:rPr>
        <w:t xml:space="preserve"> On the date of each Investment or Issuance, on the date of each Release, on each Settlement Date and on the date each Information Package, Weekly Report or other report is delivered to the Administrative Agent or any Group Agent hereunder, the Servicer and each Ashland Sub-Servicer (as applicable) shall be deemed to have certified that (i) all representations and warranties of the Servicer and each Ashland Sub-Servicer hereunder and under any other Transaction Document (if applicable) are true and correct in all material respects on and as of such day as though made on and as of such day, except for representations and warranties which apply as to an earlier date (in which case such representations and warranties shall be true and correct in all material respects as of such date) and (ii) no Event of Termination or an Unmatured Event of Termination has occurred and is continuing or will result from such Investment, Issuance or Release.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any other provision of this Agreement or any other Transaction Document, the representations and warranties contained in this Section shall be continuing, and remain in full force and effect until the Final Payout Date.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center"/>
        <w:rPr>
          <w:rFonts w:ascii="Times New Roman" w:hAnsi="Times New Roman"/>
          <w:color w:val="000000"/>
          <w:sz w:val="24"/>
        </w:rPr>
      </w:pPr>
      <w:r>
        <w:rPr>
          <w:rFonts w:ascii="Times New Roman" w:hAnsi="Times New Roman"/>
          <w:color w:val="000000"/>
          <w:sz w:val="24"/>
        </w:rPr>
        <w:t>Part 3</w:t>
      </w:r>
    </w:p>
    <w:p>
      <w:pPr>
        <w:pStyle w:val="TextBody"/>
        <w:bidi w:val="0"/>
        <w:jc w:val="center"/>
        <w:rPr>
          <w:rFonts w:ascii="Times New Roman" w:hAnsi="Times New Roman"/>
          <w:sz w:val="24"/>
        </w:rPr>
      </w:pPr>
      <w:r>
        <w:rPr>
          <w:rFonts w:ascii="Times New Roman" w:hAnsi="Times New Roman"/>
          <w:b/>
          <w:color w:val="000000"/>
          <w:sz w:val="24"/>
        </w:rPr>
        <w:t>Representations</w:t>
      </w:r>
      <w:r>
        <w:rPr>
          <w:rFonts w:ascii="Times New Roman" w:hAnsi="Times New Roman"/>
          <w:color w:val="000000"/>
          <w:sz w:val="24"/>
        </w:rPr>
        <w:t xml:space="preserve"> </w:t>
      </w:r>
      <w:r>
        <w:rPr>
          <w:rFonts w:ascii="Times New Roman" w:hAnsi="Times New Roman"/>
          <w:b/>
          <w:color w:val="000000"/>
          <w:sz w:val="24"/>
        </w:rPr>
        <w:t>and</w:t>
      </w:r>
      <w:r>
        <w:rPr>
          <w:rFonts w:ascii="Times New Roman" w:hAnsi="Times New Roman"/>
          <w:color w:val="000000"/>
          <w:sz w:val="24"/>
        </w:rPr>
        <w:t xml:space="preserve"> </w:t>
      </w:r>
      <w:r>
        <w:rPr>
          <w:rFonts w:ascii="Times New Roman" w:hAnsi="Times New Roman"/>
          <w:b/>
          <w:color w:val="000000"/>
          <w:sz w:val="24"/>
        </w:rPr>
        <w:t>Warranties</w:t>
      </w:r>
      <w:r>
        <w:rPr>
          <w:rFonts w:ascii="Times New Roman" w:hAnsi="Times New Roman"/>
          <w:color w:val="000000"/>
          <w:sz w:val="24"/>
        </w:rPr>
        <w:t xml:space="preserve"> </w:t>
      </w:r>
      <w:r>
        <w:rPr>
          <w:rFonts w:ascii="Times New Roman" w:hAnsi="Times New Roman"/>
          <w:b/>
          <w:color w:val="000000"/>
          <w:sz w:val="24"/>
        </w:rPr>
        <w:t>of</w:t>
      </w:r>
      <w:r>
        <w:rPr>
          <w:rFonts w:ascii="Times New Roman" w:hAnsi="Times New Roman"/>
          <w:color w:val="000000"/>
          <w:sz w:val="24"/>
        </w:rPr>
        <w:t xml:space="preserve"> </w:t>
      </w:r>
      <w:r>
        <w:rPr>
          <w:rFonts w:ascii="Times New Roman" w:hAnsi="Times New Roman"/>
          <w:b/>
          <w:color w:val="000000"/>
          <w:sz w:val="24"/>
        </w:rPr>
        <w:t>the</w:t>
      </w:r>
      <w:r>
        <w:rPr>
          <w:rFonts w:ascii="Times New Roman" w:hAnsi="Times New Roman"/>
          <w:color w:val="000000"/>
          <w:sz w:val="24"/>
        </w:rPr>
        <w:t xml:space="preserve"> </w:t>
      </w:r>
      <w:r>
        <w:rPr>
          <w:rFonts w:ascii="Times New Roman" w:hAnsi="Times New Roman"/>
          <w:b/>
          <w:color w:val="000000"/>
          <w:sz w:val="24"/>
        </w:rPr>
        <w:t>Performance</w:t>
      </w:r>
      <w:r>
        <w:rPr>
          <w:rFonts w:ascii="Times New Roman" w:hAnsi="Times New Roman"/>
          <w:color w:val="000000"/>
          <w:sz w:val="24"/>
        </w:rPr>
        <w:t xml:space="preserve"> </w:t>
      </w:r>
      <w:r>
        <w:rPr>
          <w:rFonts w:ascii="Times New Roman" w:hAnsi="Times New Roman"/>
          <w:b/>
          <w:color w:val="000000"/>
          <w:sz w:val="24"/>
        </w:rPr>
        <w:t>Guarantor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Performance Guarantor represents and warrants to each Purchaser Party as of the Closing Date, on each Settlement Date and on each day on which an Investment or Release shall have occurred: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Organization and Good Standing</w:t>
      </w:r>
      <w:r>
        <w:rPr>
          <w:rFonts w:ascii="Times New Roman" w:hAnsi="Times New Roman"/>
          <w:color w:val="000000"/>
          <w:sz w:val="24"/>
        </w:rPr>
        <w:t>. The Performance Guarantor is a duly organized and validly existing Delaware corporation company in good standing under the laws of the jurisdiction of its formation, with the power and authority under its organizational documents and under the laws of its jurisdiction of formation to own its properties and to conduct its business as such properties are currently owned and such business is presently conducted.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Due Qualification.</w:t>
      </w:r>
      <w:r>
        <w:rPr>
          <w:rFonts w:ascii="Times New Roman" w:hAnsi="Times New Roman"/>
          <w:color w:val="000000"/>
          <w:sz w:val="24"/>
        </w:rPr>
        <w:t xml:space="preserve"> The Performance Guarantor is duly qualified to do business and has obtained all necessary licenses and approvals in all jurisdictions in which the conduct of its business or the servicing of the Pool Receivables as required by the Transaction Documents requires such qualification, licenses or approvals, except where the failure to do so could not reasonably be expected to have a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Power and Authority; Due Authorization.</w:t>
      </w:r>
      <w:r>
        <w:rPr>
          <w:rFonts w:ascii="Times New Roman" w:hAnsi="Times New Roman"/>
          <w:color w:val="000000"/>
          <w:sz w:val="24"/>
        </w:rPr>
        <w:t xml:space="preserve"> The Performance Guarantor has all necessary power and authority to (i) execute and deliver this Agreement and the other Transaction Documents to which it is a party and (ii) perform its obligations under this Agreement and the other Transaction Documents to which it is a party and the execution, delivery and performance of, and the consummation of the transactions provided for in, this Agreement and the other Transaction Documents to which it is a party have been duly authorized by the Performance Guarantor by all necessary action.</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(d) </w:t>
      </w:r>
      <w:r>
        <w:rPr>
          <w:rFonts w:ascii="Times New Roman" w:hAnsi="Times New Roman"/>
          <w:color w:val="000000"/>
          <w:sz w:val="24"/>
          <w:u w:val="single"/>
        </w:rPr>
        <w:t>Binding Obligations.</w:t>
      </w:r>
      <w:r>
        <w:rPr>
          <w:rFonts w:ascii="Times New Roman" w:hAnsi="Times New Roman"/>
          <w:color w:val="000000"/>
          <w:sz w:val="24"/>
        </w:rPr>
        <w:t xml:space="preserve"> This Agreement and each of the other Transaction Documents to which it is a party constitutes legal, valid and binding obligations of the Performance Guarantor, enforceable against the Performance Guarantor in accordance with their respective terms, except (i) as such enforceability may be limited by applicable bankruptcy, 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(e) </w:t>
      </w:r>
      <w:r>
        <w:rPr>
          <w:rFonts w:ascii="Times New Roman" w:hAnsi="Times New Roman"/>
          <w:color w:val="000000"/>
          <w:sz w:val="24"/>
          <w:u w:val="single"/>
        </w:rPr>
        <w:t>No Conflict or Violation.</w:t>
      </w:r>
      <w:r>
        <w:rPr>
          <w:rFonts w:ascii="Times New Roman" w:hAnsi="Times New Roman"/>
          <w:color w:val="000000"/>
          <w:sz w:val="24"/>
        </w:rPr>
        <w:t xml:space="preserve"> The execution and delivery of this Agreement and each other Transaction Document to which the Performance Guarantor is a party, the performance of the transactions contemplated by this Agreement and the other Transaction Documents and the fulfillment of the terms of this Agreement and the other Transaction Documents by the Performance Guarantor will not (i) conflict with, result in any breach of any of the terms or provisions of, or constitute (with or without notice or lapse of time or both) a default under, the organizational documents of the Performance Guarantor or any indenture, sale agreement, credit agreement, loan agreement, security agreement, mortgage, deed of trust or other agreement or instrument to which the Performance Guarantor is a party or by which it or any of its property is bound, (ii) result in the creation or imposition of any Adverse Claim upon any of the Sold Assets or Seller Collateral pursuant to the terms of any such indenture, credit agreement, loan agreement, security agreement, mortgage, deed of trust or other agreement or instrument, other than this Agreement and the other Transaction Documents or (iii) conflict with or violate any Applicable Law, except to the extent that any such conflict, breach, default, Adverse Claim or violation could not reasonably be expected to have a Material Adverse Effect.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(f) </w:t>
      </w:r>
      <w:r>
        <w:rPr>
          <w:rFonts w:ascii="Times New Roman" w:hAnsi="Times New Roman"/>
          <w:color w:val="000000"/>
          <w:sz w:val="24"/>
          <w:u w:val="single"/>
        </w:rPr>
        <w:t>Action, Suit.</w:t>
      </w:r>
      <w:r>
        <w:rPr>
          <w:rFonts w:ascii="Times New Roman" w:hAnsi="Times New Roman"/>
          <w:color w:val="000000"/>
          <w:sz w:val="24"/>
        </w:rPr>
        <w:t xml:space="preserve"> The Performance Guarantor is not in violation of any order of any Governmental Authority that would, individually or in the aggregate with all such other violations, reasonably be expected to have a Material Adverse Effect. There are no actions, suits, litigation or proceedings pending or, to its knowledge, threatened in writing against or affecting it or any of its Affiliates or their respective properties, in or before any Governmental Authority, as to which there is a reasonable possibility of an adverse determination and that, if adversely determined, would, individually or in the aggregate, reasonably be expected to have a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(g) </w:t>
      </w:r>
      <w:r>
        <w:rPr>
          <w:rFonts w:ascii="Times New Roman" w:hAnsi="Times New Roman"/>
          <w:color w:val="000000"/>
          <w:sz w:val="24"/>
          <w:u w:val="single"/>
        </w:rPr>
        <w:t>No Consents.</w:t>
      </w:r>
      <w:r>
        <w:rPr>
          <w:rFonts w:ascii="Times New Roman" w:hAnsi="Times New Roman"/>
          <w:color w:val="000000"/>
          <w:sz w:val="24"/>
        </w:rPr>
        <w:t xml:space="preserve"> The Performance Guarantor is not required to obtain the consent of any other party or any consent, license, approval, registration, authorization or declaration of or with any Governmental Authority in connection with the execution, delivery, or performance of this Agreement or any other Transaction Document to which it is a party that has not already been obtained, except where the failure to obtain such consent, license, approval, registration, authorization or declaration could not reasonably be expected to have a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(h) </w:t>
      </w:r>
      <w:r>
        <w:rPr>
          <w:rFonts w:ascii="Times New Roman" w:hAnsi="Times New Roman"/>
          <w:color w:val="000000"/>
          <w:sz w:val="24"/>
          <w:u w:val="single"/>
        </w:rPr>
        <w:t>Accuracy of Information.</w:t>
      </w:r>
      <w:r>
        <w:rPr>
          <w:rFonts w:ascii="Times New Roman" w:hAnsi="Times New Roman"/>
          <w:color w:val="000000"/>
          <w:sz w:val="24"/>
        </w:rPr>
        <w:t xml:space="preserve"> None of the written information (including e-mail) heretofore, contemporaneously or hereafter furnished by the Performance Guarantor, the Seller, the Servicer, any Originator or any of their respective agents or advisors to any Purchaser, any Group Agent or the Administrative Agent for purposes of or in connection with any Transaction Document or any transaction contemplated hereby or thereby contains or will contain any statement which is untrue or misleading in any material respect on the date as of which such information is provided, dated or certified, and no such item of information contains or will contain any untrue statement of material fact or omits or will omit to state a material fact necessary in order to make the statements contained therein, in the light of the circumstances under which they were made, not misleading, as the case may be; </w:t>
      </w:r>
      <w:r>
        <w:rPr>
          <w:rFonts w:ascii="Times New Roman" w:hAnsi="Times New Roman"/>
          <w:color w:val="000000"/>
          <w:sz w:val="24"/>
          <w:u w:val="single"/>
        </w:rPr>
        <w:t>provided</w:t>
      </w:r>
      <w:r>
        <w:rPr>
          <w:rFonts w:ascii="Times New Roman" w:hAnsi="Times New Roman"/>
          <w:color w:val="000000"/>
          <w:sz w:val="24"/>
        </w:rPr>
        <w:t xml:space="preserve"> that any such information delivered subsequent to any other written information and on the same subject matter shall, solely to the extent each such item of information is delivered to the same addressee, supersede such earlier delivered information unless the Performance Guarantor, the Seller, the applicable Originator or the Servicer shall expressly state otherwise in writing. No written information (including e-mail) (subject to the proviso of the preceding sentence) contained in any report or certificate delivered pursuant to this Agreement or any other Transaction Document shall omit to state any material fact necessary to make the statements contained therein not misleading on the date as of which such information is dated or certified. With respect to any projections, budgets and other forward looking financial information, it is understood and agreed that (i) any forward-looking information furnished by the Performance Guarantor, the Seller, any Originator or the Servicer is subject to inherent uncertainties and contingencies, which may be beyond the control of such Person, (ii) no assurance is given by the Performance Guarantor, the Seller, any Originator or the Servicer that the results or forecast in any such forward-looking information will be realized and (iii) the actual results may differ from the forecast results set forth in such forward-looking information and such differences may be material. Furthermore, no representation or warranty is made with respect to information of a general economic or general industry nature.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 </w:t>
      </w:r>
      <w:r>
        <w:rPr>
          <w:rFonts w:ascii="Times New Roman" w:hAnsi="Times New Roman"/>
          <w:color w:val="000000"/>
          <w:sz w:val="24"/>
          <w:u w:val="single"/>
        </w:rPr>
        <w:t>Transaction Information</w:t>
      </w:r>
      <w:r>
        <w:rPr>
          <w:rFonts w:ascii="Times New Roman" w:hAnsi="Times New Roman"/>
          <w:color w:val="000000"/>
          <w:sz w:val="24"/>
        </w:rPr>
        <w:t xml:space="preserve">. Except as may be required by Applicable Law, none of the Performance Guarantor, any Affiliate of the Performance Guarantor or any third party with which the Performance Guarantor or any Affiliate thereof has contracted, has delivered, in writing or orally, to any Rating Agency, or monitoring a rating of, any Commercial Paper, any Transaction Information without providing such Transaction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Information to the applicable Group Agent prior to delivery to such Rating Agency and has not participated in any oral communications with respect to Transaction Information with any Rating Agency without inviting such Group Agent to participate in such oral communications.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(j) </w:t>
      </w:r>
      <w:r>
        <w:rPr>
          <w:rFonts w:ascii="Times New Roman" w:hAnsi="Times New Roman"/>
          <w:color w:val="000000"/>
          <w:sz w:val="24"/>
          <w:u w:val="single"/>
        </w:rPr>
        <w:t>Financial Condition</w:t>
      </w:r>
      <w:r>
        <w:rPr>
          <w:rFonts w:ascii="Times New Roman" w:hAnsi="Times New Roman"/>
          <w:color w:val="000000"/>
          <w:sz w:val="24"/>
        </w:rPr>
        <w:t>. The consolidated balance sheets of the Performance Guarantor and its consolidated Subsidiaries as of June 30, 2023 and the related statements of income and shareholders’ equity of the Performance Guarantor and its consolidated Subsidiaries for the fiscal quarter then ended, copies of which have been furnished to the Administrative Agent and the Group Agents, present fairly in all material respects the consolidated financial position of the Performance Guarantor and its consolidated Subsidiaries for the period ended on such date, all in accordance with GAAP.</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(k) </w:t>
      </w:r>
      <w:r>
        <w:rPr>
          <w:rFonts w:ascii="Times New Roman" w:hAnsi="Times New Roman"/>
          <w:color w:val="000000"/>
          <w:sz w:val="24"/>
          <w:u w:val="single"/>
        </w:rPr>
        <w:t>Other Transaction Documents</w:t>
      </w:r>
      <w:r>
        <w:rPr>
          <w:rFonts w:ascii="Times New Roman" w:hAnsi="Times New Roman"/>
          <w:color w:val="000000"/>
          <w:sz w:val="24"/>
        </w:rPr>
        <w:t>. Each representation and warranty made by the Performance Guarantor under each other Transaction Document to which it is a party is true and correct in all material respects as of the date when made.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(l) </w:t>
      </w:r>
      <w:r>
        <w:rPr>
          <w:rFonts w:ascii="Times New Roman" w:hAnsi="Times New Roman"/>
          <w:color w:val="000000"/>
          <w:sz w:val="24"/>
          <w:u w:val="single"/>
        </w:rPr>
        <w:t>Ultimate Parent</w:t>
      </w:r>
      <w:r>
        <w:rPr>
          <w:rFonts w:ascii="Times New Roman" w:hAnsi="Times New Roman"/>
          <w:color w:val="000000"/>
          <w:sz w:val="24"/>
        </w:rPr>
        <w:t>. The Performance Guarantor is the ultimate parent company of the Seller.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(m) </w:t>
      </w:r>
      <w:r>
        <w:rPr>
          <w:rFonts w:ascii="Times New Roman" w:hAnsi="Times New Roman"/>
          <w:color w:val="000000"/>
          <w:sz w:val="24"/>
          <w:u w:val="single"/>
        </w:rPr>
        <w:t>Reaffirmation of Representations and Warranties</w:t>
      </w:r>
      <w:r>
        <w:rPr>
          <w:rFonts w:ascii="Times New Roman" w:hAnsi="Times New Roman"/>
          <w:i/>
          <w:color w:val="000000"/>
          <w:sz w:val="24"/>
        </w:rPr>
        <w:t>.</w:t>
      </w:r>
      <w:r>
        <w:rPr>
          <w:rFonts w:ascii="Times New Roman" w:hAnsi="Times New Roman"/>
          <w:color w:val="000000"/>
          <w:sz w:val="24"/>
        </w:rPr>
        <w:t xml:space="preserve"> On the date of each Investment, on the date of each Release, on each Settlement Date and on the date each Information Package, Weekly Report or other report is delivered to the Administrative Agent or any Group Agent hereunder, the Performance Guarantor shall be deemed to have certified that (i) all representations and warranties of the Performance Guarantor hereunder are true and correct in all material respects on and as of such day as though made on and as of such day, except for representations and warranties which apply as to an earlier date (in which case such representations and warranties shall be true and correct in all material respects as of such date) and (ii) no Event of Termination or an Unmatured Event of Termination has occurred and is continuing or will result from such Investment or Release.</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(n) </w:t>
      </w:r>
      <w:r>
        <w:rPr>
          <w:rFonts w:ascii="Times New Roman" w:hAnsi="Times New Roman"/>
          <w:color w:val="000000"/>
          <w:sz w:val="24"/>
          <w:u w:val="single"/>
        </w:rPr>
        <w:t>Foreign Tax.</w:t>
      </w:r>
      <w:r>
        <w:rPr>
          <w:rFonts w:ascii="Times New Roman" w:hAnsi="Times New Roman"/>
          <w:color w:val="000000"/>
          <w:sz w:val="24"/>
        </w:rPr>
        <w:t xml:space="preserve"> Either: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any interest received from the Seller under the Transaction Documents will be treated as interest income for the purposes of Foreign Tax and no deduction will be claimed by it for the purposes of Foreign Tax in respect of the payment of such interest income to it;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a corresponding amount to the deduction for or on account of tax which the Seller would take in Ireland with respect to interest or other distributions payable to it under the Transaction Documents will be included (within the meaning of section 835Z of the TCA) by it in its jurisdiction of incorporation.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any other provision of this Agreement or any other Transaction Document, the representations and warranties contained in this Section shall be continuing, and remain in full force and effect until the Final Payout Date.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center"/>
        <w:rPr>
          <w:rFonts w:ascii="Times New Roman" w:hAnsi="Times New Roman"/>
          <w:color w:val="000000"/>
          <w:sz w:val="24"/>
        </w:rPr>
      </w:pPr>
      <w:r>
        <w:rPr>
          <w:rFonts w:ascii="Times New Roman" w:hAnsi="Times New Roman"/>
          <w:color w:val="000000"/>
          <w:sz w:val="24"/>
        </w:rPr>
        <w:t>Part 4</w:t>
      </w:r>
    </w:p>
    <w:p>
      <w:pPr>
        <w:pStyle w:val="TextBody"/>
        <w:bidi w:val="0"/>
        <w:jc w:val="center"/>
        <w:rPr>
          <w:rFonts w:ascii="Times New Roman" w:hAnsi="Times New Roman"/>
          <w:sz w:val="24"/>
        </w:rPr>
      </w:pPr>
      <w:r>
        <w:rPr>
          <w:rFonts w:ascii="Times New Roman" w:hAnsi="Times New Roman"/>
          <w:b/>
          <w:color w:val="000000"/>
          <w:sz w:val="24"/>
        </w:rPr>
        <w:t>Representations</w:t>
      </w:r>
      <w:r>
        <w:rPr>
          <w:rFonts w:ascii="Times New Roman" w:hAnsi="Times New Roman"/>
          <w:color w:val="000000"/>
          <w:sz w:val="24"/>
        </w:rPr>
        <w:t xml:space="preserve"> </w:t>
      </w:r>
      <w:r>
        <w:rPr>
          <w:rFonts w:ascii="Times New Roman" w:hAnsi="Times New Roman"/>
          <w:b/>
          <w:color w:val="000000"/>
          <w:sz w:val="24"/>
        </w:rPr>
        <w:t>and</w:t>
      </w:r>
      <w:r>
        <w:rPr>
          <w:rFonts w:ascii="Times New Roman" w:hAnsi="Times New Roman"/>
          <w:color w:val="000000"/>
          <w:sz w:val="24"/>
        </w:rPr>
        <w:t xml:space="preserve"> </w:t>
      </w:r>
      <w:r>
        <w:rPr>
          <w:rFonts w:ascii="Times New Roman" w:hAnsi="Times New Roman"/>
          <w:b/>
          <w:color w:val="000000"/>
          <w:sz w:val="24"/>
        </w:rPr>
        <w:t>Warranties</w:t>
      </w:r>
      <w:r>
        <w:rPr>
          <w:rFonts w:ascii="Times New Roman" w:hAnsi="Times New Roman"/>
          <w:color w:val="000000"/>
          <w:sz w:val="24"/>
        </w:rPr>
        <w:t xml:space="preserve"> </w:t>
      </w:r>
      <w:r>
        <w:rPr>
          <w:rFonts w:ascii="Times New Roman" w:hAnsi="Times New Roman"/>
          <w:b/>
          <w:color w:val="000000"/>
          <w:sz w:val="24"/>
        </w:rPr>
        <w:t>of</w:t>
      </w:r>
      <w:r>
        <w:rPr>
          <w:rFonts w:ascii="Times New Roman" w:hAnsi="Times New Roman"/>
          <w:color w:val="000000"/>
          <w:sz w:val="24"/>
        </w:rPr>
        <w:t xml:space="preserve"> </w:t>
      </w:r>
      <w:r>
        <w:rPr>
          <w:rFonts w:ascii="Times New Roman" w:hAnsi="Times New Roman"/>
          <w:b/>
          <w:color w:val="000000"/>
          <w:sz w:val="24"/>
        </w:rPr>
        <w:t>the</w:t>
      </w:r>
      <w:r>
        <w:rPr>
          <w:rFonts w:ascii="Times New Roman" w:hAnsi="Times New Roman"/>
          <w:color w:val="000000"/>
          <w:sz w:val="24"/>
        </w:rPr>
        <w:t xml:space="preserve"> </w:t>
      </w:r>
      <w:r>
        <w:rPr>
          <w:rFonts w:ascii="Times New Roman" w:hAnsi="Times New Roman"/>
          <w:b/>
          <w:color w:val="000000"/>
          <w:sz w:val="24"/>
        </w:rPr>
        <w:t>Originators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In order to induce the Seller to enter into the Purchase and Sale Agreements and to make purchases pursuant to the Purchase and Sale Agreements, each Originator (and solely with respect to </w:t>
      </w:r>
      <w:r>
        <w:rPr>
          <w:rFonts w:ascii="Times New Roman" w:hAnsi="Times New Roman"/>
          <w:color w:val="000000"/>
          <w:sz w:val="24"/>
          <w:u w:val="single"/>
        </w:rPr>
        <w:t>paragraph (aa)</w:t>
      </w:r>
      <w:r>
        <w:rPr>
          <w:rFonts w:ascii="Times New Roman" w:hAnsi="Times New Roman"/>
          <w:color w:val="000000"/>
          <w:sz w:val="24"/>
        </w:rPr>
        <w:t>, the Seller) hereby represents and warrants with respect to itself that each representation and warranty concerning it or the Receivables sold by it pursuant to the Purchase and Sale Agreement that is contained in the Master Framework Agreement is true and correct in all material respects (unless any such representation or warranty is qualified as to materiality, in which case such representation and warranty shall be true and correct in all respects) as if made on and as of such day, except to the extent that any thereof expressly relate to an earlier date, in which case they shall be true and correct in all material respects (unless any such representation or warranty is qualified as to materiality, in which case such representation and warranty shall be true and correct in all respects) as of such earlier date, and hereby makes the representations and warranties set forth in this Schedule 3 (</w:t>
      </w:r>
      <w:r>
        <w:rPr>
          <w:rFonts w:ascii="Times New Roman" w:hAnsi="Times New Roman"/>
          <w:i/>
          <w:color w:val="000000"/>
          <w:sz w:val="24"/>
        </w:rPr>
        <w:t>Representations and Warranties</w:t>
      </w:r>
      <w:r>
        <w:rPr>
          <w:rFonts w:ascii="Times New Roman" w:hAnsi="Times New Roman"/>
          <w:color w:val="000000"/>
          <w:sz w:val="24"/>
        </w:rPr>
        <w:t>) Part 4 (</w:t>
      </w:r>
      <w:r>
        <w:rPr>
          <w:rFonts w:ascii="Times New Roman" w:hAnsi="Times New Roman"/>
          <w:i/>
          <w:color w:val="000000"/>
          <w:sz w:val="24"/>
        </w:rPr>
        <w:t>Representations and Warranties of the Originators</w:t>
      </w:r>
      <w:r>
        <w:rPr>
          <w:rFonts w:ascii="Times New Roman" w:hAnsi="Times New Roman"/>
          <w:color w:val="000000"/>
          <w:sz w:val="24"/>
        </w:rPr>
        <w: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Existence and Power</w:t>
      </w:r>
      <w:r>
        <w:rPr>
          <w:rFonts w:ascii="Times New Roman" w:hAnsi="Times New Roman"/>
          <w:color w:val="000000"/>
          <w:sz w:val="24"/>
        </w:rPr>
        <w:t>. Such Originator (i) is duly organized, validly existing and (where applicable) in good standing under the laws of the jurisdiction of its incorporation, organization or formation, (ii) has full power and authority to own its properties and to conduct its business as such properties are currently owned and such business is presently conducted and (iii) is duly qualified to do business, is in good standing as a foreign entity and has obtained all necessary licenses and approvals in all jurisdictions in which the conduct of its business requires such qualification, licenses or approvals, except in each case, where the failure to do so could not reasonably be expected to have a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Power and Authority; Due Authorization</w:t>
      </w:r>
      <w:r>
        <w:rPr>
          <w:rFonts w:ascii="Times New Roman" w:hAnsi="Times New Roman"/>
          <w:color w:val="000000"/>
          <w:sz w:val="24"/>
        </w:rPr>
        <w:t>. Such Originator (i) has all necessary power and authority to (A) execute and deliver this Agreement and the other Transaction Documents to which it is a party, (B) perform its obligations under this Agreement and the other Transaction Documents to which it is a party and (C) charge and assign and otherwise grant security in the Receivables and the Related Rights to the Seller on the terms and subject to the conditions of the Transaction Documents and (ii) has duly authorized by all necessary action such grant and the execution, delivery and performance of, and the consummation of the transactions provided for in, this Agreement and the other Transaction Documents to which it is a party.</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No Conflict or Violation</w:t>
      </w:r>
      <w:r>
        <w:rPr>
          <w:rFonts w:ascii="Times New Roman" w:hAnsi="Times New Roman"/>
          <w:color w:val="000000"/>
          <w:sz w:val="24"/>
        </w:rPr>
        <w:t>. The execution, delivery and performance of, and the consummation of the transactions contemplated by, this Agreement and the other Transaction Documents to which it is a party, and the fulfillment of the terms hereof and thereof, will not (i) conflict with, result in any breach of any of the terms or provisions of, or constitute (with or without notice or lapse of time or both) a default under its organizational documents or any indenture, sale agreement, credit agreement, loan agreement, security agreement, mortgage, deed of trust, or other agreement or instrument to which such Originator is a party or by which it or any of its properties is bound, (ii) result in the creation or imposition of any Adverse Claim upon any of the Receivables or Related Rights, pursuant to the terms of any such indenture, credit agreement, loan agreement, security agreement, mortgage, deed of trust, or other agreement or instrument other than this Agreement and the other Transaction Documents or (iii) conflict with or violate any Applicable Law except to the extent that any such conflict, breach, default, Adverse Claim or violation could not reasonably be expected to have a Material Adverse Effect.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(d) </w:t>
      </w:r>
      <w:r>
        <w:rPr>
          <w:rFonts w:ascii="Times New Roman" w:hAnsi="Times New Roman"/>
          <w:color w:val="000000"/>
          <w:sz w:val="24"/>
          <w:u w:val="single"/>
        </w:rPr>
        <w:t>Governmental Approvals</w:t>
      </w:r>
      <w:r>
        <w:rPr>
          <w:rFonts w:ascii="Times New Roman" w:hAnsi="Times New Roman"/>
          <w:color w:val="000000"/>
          <w:sz w:val="24"/>
        </w:rPr>
        <w:t>. Except where the failure to obtain or make such authorization, consent, order, approval or action could not reasonably be expected to have a Material Adverse Effect, all authorizations, consents, orders and approvals of, or other actions by, any Governmental Authority that are required to be obtained by such Originator in connection with the grant of a security interest in the Receivables and the Related Rights to the Seller pursuant to the Transaction Documents or the due execution, delivery and performance by such Originator of this Agreement or any other Transaction Document to which it is a party and the consummation by such Originator of the transactions contemplated by this Agreement and the other Transaction Documents to which it is a party have been obtained or made and are in full force and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(e) </w:t>
      </w:r>
      <w:r>
        <w:rPr>
          <w:rFonts w:ascii="Times New Roman" w:hAnsi="Times New Roman"/>
          <w:color w:val="000000"/>
          <w:sz w:val="24"/>
          <w:u w:val="single"/>
        </w:rPr>
        <w:t>Environmental Compliance</w:t>
      </w:r>
      <w:r>
        <w:rPr>
          <w:rFonts w:ascii="Times New Roman" w:hAnsi="Times New Roman"/>
          <w:color w:val="000000"/>
          <w:sz w:val="24"/>
        </w:rPr>
        <w:t>. Each Originator conducts in the ordinary course of business a review of the effect of existing Environmental Laws and claims alleging potential liability or responsibility for violation of any Environmental Law on its businesses, operations and properties. Such Environmental Laws and claims could not, individually or in the aggregate, reasonably be expected to have a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(f) </w:t>
      </w:r>
      <w:r>
        <w:rPr>
          <w:rFonts w:ascii="Times New Roman" w:hAnsi="Times New Roman"/>
          <w:color w:val="000000"/>
          <w:sz w:val="24"/>
          <w:u w:val="single"/>
        </w:rPr>
        <w:t>Insurance</w:t>
      </w:r>
      <w:r>
        <w:rPr>
          <w:rFonts w:ascii="Times New Roman" w:hAnsi="Times New Roman"/>
          <w:color w:val="000000"/>
          <w:sz w:val="24"/>
        </w:rPr>
        <w:t>. The properties of each Originator are insured with financially sound and reputable insurance companies not Affiliates of the Originator, in such amounts, with such deductibles and covering such risks as are customarily carried by companies engaged in similar businesses and owning similar properties in localities where the respective Originator operates.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(g) </w:t>
      </w:r>
      <w:r>
        <w:rPr>
          <w:rFonts w:ascii="Times New Roman" w:hAnsi="Times New Roman"/>
          <w:color w:val="000000"/>
          <w:sz w:val="24"/>
          <w:u w:val="single"/>
        </w:rPr>
        <w:t>Intellectual Property; Licenses etc.</w:t>
      </w:r>
      <w:r>
        <w:rPr>
          <w:rFonts w:ascii="Times New Roman" w:hAnsi="Times New Roman"/>
          <w:color w:val="000000"/>
          <w:sz w:val="24"/>
        </w:rPr>
        <w:t>. Each Originator owns, or possesses the right to use, all of the trademarks, service marks, trade names, copyrights, patents, patent rights, trade secrets, know-how, franchises, licenses and other intellectual property rights (collectively, “</w:t>
      </w:r>
      <w:r>
        <w:rPr>
          <w:rFonts w:ascii="Times New Roman" w:hAnsi="Times New Roman"/>
          <w:color w:val="000000"/>
          <w:sz w:val="24"/>
          <w:u w:val="single"/>
        </w:rPr>
        <w:t>IP Rights</w:t>
      </w:r>
      <w:r>
        <w:rPr>
          <w:rFonts w:ascii="Times New Roman" w:hAnsi="Times New Roman"/>
          <w:color w:val="000000"/>
          <w:sz w:val="24"/>
        </w:rPr>
        <w:t>”) that are reasonably necessary for the operation of its businesses, without conflict with the rights of any other Person. To the best knowledge of each Originator, no product, service, process, method, substance, part or other material now used, or now contemplated to be used, by the Originator infringes, misappropriates or otherwise violates upon any rights held by any other Person. No claim or litigation regarding any of the foregoing is pending or, to the best knowledge of each Originator, threatened, which, either individually or in the aggregate, could reasonably be expected to have a Material Adverse Effect. To the best knowledge of each Originator, there has been no unauthorized use, access, interruption, modification, corruption or malfunction of any information technology assets or systems (or any information or transactions stored or contained therein or transmitted thereby) owned or used by the Originator, which, either individually or in the aggregate, would reasonably be expected to have a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(h) </w:t>
      </w:r>
      <w:r>
        <w:rPr>
          <w:rFonts w:ascii="Times New Roman" w:hAnsi="Times New Roman"/>
          <w:color w:val="000000"/>
          <w:sz w:val="24"/>
          <w:u w:val="single"/>
        </w:rPr>
        <w:t>Valid Sale</w:t>
      </w:r>
      <w:r>
        <w:rPr>
          <w:rFonts w:ascii="Times New Roman" w:hAnsi="Times New Roman"/>
          <w:color w:val="000000"/>
          <w:sz w:val="24"/>
        </w:rPr>
        <w:t>. Each sale of Receivables and the Related Rights made by such Originator pursuant to the Transaction Documents shall constitute a valid sale (or, with respect to any contribution), transfer and assignment of Receivables and Related Rights to the Seller, enforceable against creditors of, and purchasers from, such Originator, except (i) as such enforceability may be limited by applicable bankruptcy, 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 </w:t>
      </w:r>
      <w:r>
        <w:rPr>
          <w:rFonts w:ascii="Times New Roman" w:hAnsi="Times New Roman"/>
          <w:color w:val="000000"/>
          <w:sz w:val="24"/>
          <w:u w:val="single"/>
        </w:rPr>
        <w:t>Disclosure</w:t>
      </w:r>
      <w:r>
        <w:rPr>
          <w:rFonts w:ascii="Times New Roman" w:hAnsi="Times New Roman"/>
          <w:color w:val="000000"/>
          <w:sz w:val="24"/>
        </w:rPr>
        <w:t xml:space="preserve">. Such Originator has disclosed to the Administrative Agent and the Purchaser Parties all agreements, instruments and corporate or other restrictions to which it is subject, and all other matters known to it, that, individually or in the aggregate,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could reasonably be expected to result in a Material Adverse Effect. No report, financial statement, certificate or other information furnished (whether in writing or orally) by such Originator to the Administrative Agent or any Purchaser Party in connection with the transactions contemplated hereby and the negotiation of this Agreement or delivered hereunder or under any other Transaction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provided that, with respect to projected financial information, such Originator represents only that such information was prepared in good faith based upon assumptions believed to be reasonable at the time.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(j) </w:t>
      </w:r>
      <w:r>
        <w:rPr>
          <w:rFonts w:ascii="Times New Roman" w:hAnsi="Times New Roman"/>
          <w:color w:val="000000"/>
          <w:sz w:val="24"/>
          <w:u w:val="single"/>
        </w:rPr>
        <w:t>Binding Effect of Agreement</w:t>
      </w:r>
      <w:r>
        <w:rPr>
          <w:rFonts w:ascii="Times New Roman" w:hAnsi="Times New Roman"/>
          <w:color w:val="000000"/>
          <w:sz w:val="24"/>
        </w:rPr>
        <w:t>. This Agreement and each of the other Transaction Documents to which it is a party constitute the legal, valid and binding obligations of such Originator, enforceable against such Originator in accordance with their respective terms, except (i) as such enforceability may be limited by applicable bankruptcy, 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(k) </w:t>
      </w:r>
      <w:r>
        <w:rPr>
          <w:rFonts w:ascii="Times New Roman" w:hAnsi="Times New Roman"/>
          <w:color w:val="000000"/>
          <w:sz w:val="24"/>
          <w:u w:val="single"/>
        </w:rPr>
        <w:t>Accuracy of Information</w:t>
      </w:r>
      <w:r>
        <w:rPr>
          <w:rFonts w:ascii="Times New Roman" w:hAnsi="Times New Roman"/>
          <w:color w:val="000000"/>
          <w:sz w:val="24"/>
        </w:rPr>
        <w:t>. None of the written information (including e-mail) heretofore, contemporaneously or hereafter furnished by such Originator or any of its agents or advisors to the Seller, any Purchaser, any Group Agent, or the Administrative Agent for purposes of or in connection with any Transaction Document or any transaction contemplated hereby or thereby contains or will contain any statement which is untrue or misleading in any material respect on the date as of which such information is provided, dated or certified, and no such item of information contains or will contain any untrue statement of material fact or omits or will omit to state a material fact necessary in order to make the statements contained therein, in the light of the circumstances under which they were made, not misleading, as the case may be; provided that any such information delivered subsequent to any other written information and on the same subject matter shall, solely to the extent each such item of information is delivered to the same addressee, supersede such earlier delivered information unless the applicable Originator shall expressly state otherwise in writing. No written information (including e-mail) (subject to the proviso of the preceding sentence) contained in any report or certificate delivered pursuant to this Agreement or any other Transaction Document shall omit to state any material fact necessary to make the statements contained therein not misleading on the date as of which such information is dated or certified. With respect to any projections, budgets and other forward looking financial information, it is understood and agreed that (i) any forward-looking information furnished by such Originator is subject to inherent uncertainties and contingencies, which may be beyond the control of such Person, (ii) no assurance is given by any Originator that the results or forecast in any such forward-looking information will be realized and (iii) the actual results may differ from the forecast results set forth in such forward-looking information and such differences may be material. Furthermore, no representation or warranty is made with respect to information of a general economic or general industry nature. Notwithstanding anything in the forgoing paragraph, it is understood and agreed that this paragraph (k) shall not apply to any matters addressed by paragraph (p).</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(l) </w:t>
      </w:r>
      <w:r>
        <w:rPr>
          <w:rFonts w:ascii="Times New Roman" w:hAnsi="Times New Roman"/>
          <w:color w:val="000000"/>
          <w:sz w:val="24"/>
          <w:u w:val="single"/>
        </w:rPr>
        <w:t>Actions, Suit</w:t>
      </w:r>
      <w:r>
        <w:rPr>
          <w:rFonts w:ascii="Times New Roman" w:hAnsi="Times New Roman"/>
          <w:color w:val="000000"/>
          <w:sz w:val="24"/>
        </w:rPr>
        <w:t xml:space="preserve">. Such Originator is not in violation of any order of any Governmental Authority that would, individually or in the aggregate with all such other violations, reasonably be expected to have a Material Adverse Effect. There are no actions,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suits, litigation or proceedings pending or, to its knowledge, threatened in writing against or affecting such Originator or any of its Affiliates or their respective properties, in or before any Governmental Authority, as to which there is a reasonable possibility of an adverse determination and that, if adversely determined, would, individually or in the aggregate, reasonably be expected to have a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(m) </w:t>
      </w:r>
      <w:r>
        <w:rPr>
          <w:rFonts w:ascii="Times New Roman" w:hAnsi="Times New Roman"/>
          <w:color w:val="000000"/>
          <w:sz w:val="24"/>
          <w:u w:val="single"/>
        </w:rPr>
        <w:t>No Material Adverse Effect</w:t>
      </w:r>
      <w:r>
        <w:rPr>
          <w:rFonts w:ascii="Times New Roman" w:hAnsi="Times New Roman"/>
          <w:i/>
          <w:color w:val="000000"/>
          <w:sz w:val="24"/>
        </w:rPr>
        <w:t>.</w:t>
      </w:r>
      <w:r>
        <w:rPr>
          <w:rFonts w:ascii="Times New Roman" w:hAnsi="Times New Roman"/>
          <w:color w:val="000000"/>
          <w:sz w:val="24"/>
        </w:rPr>
        <w:t xml:space="preserve"> Since September 30, 2022, there has been no Material Adverse Effect with respect to such Originator.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(n) </w:t>
      </w:r>
      <w:r>
        <w:rPr>
          <w:rFonts w:ascii="Times New Roman" w:hAnsi="Times New Roman"/>
          <w:color w:val="000000"/>
          <w:sz w:val="24"/>
          <w:u w:val="single"/>
        </w:rPr>
        <w:t>Names and Location</w:t>
      </w:r>
      <w:r>
        <w:rPr>
          <w:rFonts w:ascii="Times New Roman" w:hAnsi="Times New Roman"/>
          <w:color w:val="000000"/>
          <w:sz w:val="24"/>
        </w:rPr>
        <w:t>. Except for the Irish Originator, which was previously called Vornia Limited until April 2018, such Originator has not used any corporate names, trade names or assumed names since the date occurring five calendar years prior to the Closing Date other than its name set forth on the signature pages hereto. Such Originator is “located” (as such term is defined in the applicable UCC) in the jurisdiction specified in the relevant Purchase and Sale Agreement and since the date occurring five calendar years prior to the Closing Date, has not been “located” (as such term is defined in the applicable UCC) in any other jurisdiction. Such Originator keeps its records concerning the Receivables stored electronically via a cloud-based document storage platform.</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(o) </w:t>
      </w:r>
      <w:r>
        <w:rPr>
          <w:rFonts w:ascii="Times New Roman" w:hAnsi="Times New Roman"/>
          <w:color w:val="000000"/>
          <w:sz w:val="24"/>
          <w:u w:val="single"/>
        </w:rPr>
        <w:t>Margin Stock</w:t>
      </w:r>
      <w:r>
        <w:rPr>
          <w:rFonts w:ascii="Times New Roman" w:hAnsi="Times New Roman"/>
          <w:color w:val="000000"/>
          <w:sz w:val="24"/>
        </w:rPr>
        <w:t>. Such Originator is not engaged, principally or as one of its important activities, in the business of extending credit for the purpose of purchasing or carrying margin stock in a manner that could reasonably be expected to result in a violation of Regulations T, U and X of the Board of Governors of the Federal Reserve System, and no Purchase Price payments or proceeds under Transaction Documents will be used to purchase or carry any margin stock or to extend credit to others for the purpose of purchasing or carrying any margin stock.</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(p) </w:t>
      </w:r>
      <w:r>
        <w:rPr>
          <w:rFonts w:ascii="Times New Roman" w:hAnsi="Times New Roman"/>
          <w:color w:val="000000"/>
          <w:sz w:val="24"/>
          <w:u w:val="single"/>
        </w:rPr>
        <w:t>Eligible Receivables</w:t>
      </w:r>
      <w:r>
        <w:rPr>
          <w:rFonts w:ascii="Times New Roman" w:hAnsi="Times New Roman"/>
          <w:color w:val="000000"/>
          <w:sz w:val="24"/>
        </w:rPr>
        <w:t>. Each Receivable included as an Eligible Receivable in the calculation of the Net Receivables Pool Balance as of any date is an Eligible Receivable as of such date.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(q) </w:t>
      </w:r>
      <w:r>
        <w:rPr>
          <w:rFonts w:ascii="Times New Roman" w:hAnsi="Times New Roman"/>
          <w:color w:val="000000"/>
          <w:sz w:val="24"/>
          <w:u w:val="single"/>
        </w:rPr>
        <w:t>Credit and Collection Policy</w:t>
      </w:r>
      <w:r>
        <w:rPr>
          <w:rFonts w:ascii="Times New Roman" w:hAnsi="Times New Roman"/>
          <w:color w:val="000000"/>
          <w:sz w:val="24"/>
        </w:rPr>
        <w:t>. Such Originator has complied in all material respects with the Credit and Collection Policy with regard to each Receivable sold by it pursuant to the Transaction Documents and each related Contract.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(r) </w:t>
      </w:r>
      <w:r>
        <w:rPr>
          <w:rFonts w:ascii="Times New Roman" w:hAnsi="Times New Roman"/>
          <w:color w:val="000000"/>
          <w:sz w:val="24"/>
          <w:u w:val="single"/>
        </w:rPr>
        <w:t>Investment Company Act</w:t>
      </w:r>
      <w:r>
        <w:rPr>
          <w:rFonts w:ascii="Times New Roman" w:hAnsi="Times New Roman"/>
          <w:color w:val="000000"/>
          <w:sz w:val="24"/>
        </w:rPr>
        <w:t>. Such Originator is not, and is not controlled by, an “investment company” registered or required to be registered under the Investment Company Act.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 </w:t>
      </w:r>
      <w:r>
        <w:rPr>
          <w:rFonts w:ascii="Times New Roman" w:hAnsi="Times New Roman"/>
          <w:color w:val="000000"/>
          <w:sz w:val="24"/>
          <w:u w:val="single"/>
        </w:rPr>
        <w:t>Anti-Money Laundering/International Trade Law Compliance</w:t>
      </w:r>
      <w:r>
        <w:rPr>
          <w:rFonts w:ascii="Times New Roman" w:hAnsi="Times New Roman"/>
          <w:color w:val="000000"/>
          <w:sz w:val="24"/>
        </w:rPr>
        <w:t>. Such Originator is not a Sanctioned Person. Such Originator, either in its own right or through any third party, (i) does not have any of its assets in a Sanctioned Jurisdiction or in the possession, custody or control of a Sanctioned Person in violation of any Anti-Terrorism Law; (ii) neither does business in or with, nor derives any of its income from investments in or transactions with, any Sanctioned Jurisdiction or Sanctioned Person in violation of any Anti-Terrorism Law; or (iii) does not engage in any dealings or transactions prohibited by any Anti-Terrorism Law.</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(t) </w:t>
      </w:r>
      <w:r>
        <w:rPr>
          <w:rFonts w:ascii="Times New Roman" w:hAnsi="Times New Roman"/>
          <w:color w:val="000000"/>
          <w:sz w:val="24"/>
          <w:u w:val="single"/>
        </w:rPr>
        <w:t>Anti-Corruption Laws</w:t>
      </w:r>
      <w:r>
        <w:rPr>
          <w:rFonts w:ascii="Times New Roman" w:hAnsi="Times New Roman"/>
          <w:color w:val="000000"/>
          <w:sz w:val="24"/>
        </w:rPr>
        <w:t>. Such Originator has conducted its businesses in compliance in all material respects with Anti-Corruption Laws.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(u) </w:t>
      </w:r>
      <w:r>
        <w:rPr>
          <w:rFonts w:ascii="Times New Roman" w:hAnsi="Times New Roman"/>
          <w:color w:val="000000"/>
          <w:sz w:val="24"/>
          <w:u w:val="single"/>
        </w:rPr>
        <w:t>Financial Condition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The audited consolidated balance sheet of the Performance Guarantor and its consolidated Subsidiaries as of September 30, 2022 and the related statements of income and shareholders’ equity of Parent and its consolidated Subsidiaries for the fiscal quarter then ended, copies of which have been furnished to the Administrative Agent and the Purchasers, present fairly in all material respects the consolidated financial position of the Parent and its consolidated Subsidiaries for the period ended on such date, all in accordance with GAAP.</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On the date hereof, and on the date of each purchase pursuant to the Purchase and Sale Agreement (both before and after giving effect to such purchase), such Originator is, and will be on such date, Solvent and no Insolvency Proceeding with respect to such Originator is, or will be on such date, pending or threatened.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(v) </w:t>
      </w:r>
      <w:r>
        <w:rPr>
          <w:rFonts w:ascii="Times New Roman" w:hAnsi="Times New Roman"/>
          <w:color w:val="000000"/>
          <w:sz w:val="24"/>
          <w:u w:val="single"/>
        </w:rPr>
        <w:t>Taxes</w:t>
      </w:r>
      <w:r>
        <w:rPr>
          <w:rFonts w:ascii="Times New Roman" w:hAnsi="Times New Roman"/>
          <w:color w:val="000000"/>
          <w:sz w:val="24"/>
        </w:rPr>
        <w:t>. Such Originator has (i) timely filed all Tax returns (federal, state, foreign and local) and reports required by Applicable Law to have been filed by it and (ii) paid, or caused to be paid, all Taxes, assessments and governmental charges thereby shown to be owing by it, other than any such Taxes, assessments or charges that are being contested in good faith by appropriate proceedings and for which appropriate reserves in accordance with GAAP have been established except in each case to the extent such failure to pay or file could not reasonably be expected to result in a Material Adverse Event.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Such Originator is not required to make any withholding or deduction on account of Tax from any payment it may make (or be deemed to make) under any Transaction Document.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Under the Laws of such Originator's jurisdiction of incorporation and Tax residence it is not necessary that any stamp, registration or similar Tax be paid on or in relation to any Transaction Document or any transaction contemplated thereunder, in any case, except any filing, recording or enrolling or any tax or fee payable in Italy in relation to the Transaction Documents (i) in any “case of use”, including the filing, recording or enrolment of any Transaction Document with any Italian judicial authority (when carrying out any administrative activity) or administrative authority (unless such filing is mandatory at law); and (ii) on voluntary registration of any Transaction Document with the Italian tax authority; and (iii) in the event any of the provisions of the Transaction Document is mentioned in any separate document entered into between the same parties (alone or together with other parties) which have not been previously registered; and (iv) where any Transaction Document is enforced in Italy either by way of a direct court judgment or an exequatur of a judgment rendered outside Italy.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Such Originator is not required to account to any Governmental Authority for any VAT in respect of the sale by it of any Receivable and no withholding or other Tax is deductible or payable on any payment made by an Obligor with respect to any Receivable.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 Such Originator is acting in the course of its business in selling the Receivables.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 To the extent the obligor of any Receivable is an Irish registered company the Receivable does not carry any rights of conversion into stocks or marketable securities of an Irish company, does not have any share type rights such as voting power or rights to dividends and does not carry any right to interest linked to a share index or indices.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(w) </w:t>
      </w:r>
      <w:r>
        <w:rPr>
          <w:rFonts w:ascii="Times New Roman" w:hAnsi="Times New Roman"/>
          <w:color w:val="000000"/>
          <w:sz w:val="24"/>
          <w:u w:val="single"/>
        </w:rPr>
        <w:t>ERISA</w:t>
      </w:r>
      <w:r>
        <w:rPr>
          <w:rFonts w:ascii="Times New Roman" w:hAnsi="Times New Roman"/>
          <w:color w:val="000000"/>
          <w:sz w:val="24"/>
        </w:rPr>
        <w:t>. Except as would not reasonably be expected to have, individually or in the aggregate, a Material Adverse Effect, no steps have been taken by any Person to terminate any Pension Plan the assets of which are not sufficient to satisfy all of any Originator’s benefit liabilities (as determined under Title IV of ERISA), no contribution failure has occurred or is expected to occur with respect to any Pension Plan sufficient to give rise to a lien under Section 302(f) of ERISA, and each Pension Plan has been administered in all material respects in compliance with its terms and applicable provision of ERISA and the Code. Neither the Seller nor any ERISA Affiliate has any material liability to a Multiemployer Plan.</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(x) </w:t>
      </w:r>
      <w:r>
        <w:rPr>
          <w:rFonts w:ascii="Times New Roman" w:hAnsi="Times New Roman"/>
          <w:color w:val="000000"/>
          <w:sz w:val="24"/>
          <w:u w:val="single"/>
        </w:rPr>
        <w:t>Data Protection Law.</w:t>
      </w:r>
      <w:r>
        <w:rPr>
          <w:rFonts w:ascii="Times New Roman" w:hAnsi="Times New Roman"/>
          <w:color w:val="000000"/>
          <w:sz w:val="24"/>
        </w:rPr>
        <w:t xml:space="preserve"> If and to the extent Data Protection laws apply to personal data processed (as defined in the relevant Data Protection Laws) by any party in connection with the performance of their obligations under, or in connection with, the Transaction Documents, where such Originator has provided personal data (as defined in the relevant Data Protection Laws) to the Administrative Agent and/or the Purchasers, it has provided all notices required to, and obtained all consents (if required by the relevant Data Protection Laws) from, data subjects (as defined in the relevant Data Protection Laws) to enable use, disclosure and processing of such personal data (as defined in the relevant Data Protection Laws) by such Originator, the Administrative Agent and the Purchasers in accordance with its relevant obligations under applicable Data Protection Laws for the purposes contemplated under the Transaction Documents.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(y) </w:t>
      </w:r>
      <w:r>
        <w:rPr>
          <w:rFonts w:ascii="Times New Roman" w:hAnsi="Times New Roman"/>
          <w:color w:val="000000"/>
          <w:sz w:val="24"/>
          <w:u w:val="single"/>
        </w:rPr>
        <w:t>Transaction not fraudulent, undervalue, preference or unprofitable.</w:t>
      </w:r>
      <w:r>
        <w:rPr>
          <w:rFonts w:ascii="Times New Roman" w:hAnsi="Times New Roman"/>
          <w:color w:val="000000"/>
          <w:sz w:val="24"/>
        </w:rPr>
        <w:t xml:space="preserve"> The execution, delivery and performance of the consummation of the transaction contemplated by this Agreement and the Transaction Documents to which such Originator is a party will not give rise to a transaction at an undervalue, an unfair preference, an extortionate credit transaction or a conveyance of property made with the intent to defraud creditors and is not otherwise void or voidable under any bankruptcy or insolvency laws or for any other reason.</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(z) </w:t>
      </w:r>
      <w:r>
        <w:rPr>
          <w:rFonts w:ascii="Times New Roman" w:hAnsi="Times New Roman"/>
          <w:color w:val="000000"/>
          <w:sz w:val="24"/>
          <w:u w:val="single"/>
        </w:rPr>
        <w:t>No Fraudulent Conveyance</w:t>
      </w:r>
      <w:r>
        <w:rPr>
          <w:rFonts w:ascii="Times New Roman" w:hAnsi="Times New Roman"/>
          <w:color w:val="000000"/>
          <w:sz w:val="24"/>
        </w:rPr>
        <w:t>. No sale or contribution pursuant to the Purchase and Sale Agreement constitutes a fraudulent transfer or conveyance under any United States federal or applicable state bankruptcy or insolvency laws or is otherwise void or voidable under such or similar laws or principles or for any other reason.</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(aa) </w:t>
      </w:r>
      <w:r>
        <w:rPr>
          <w:rFonts w:ascii="Times New Roman" w:hAnsi="Times New Roman"/>
          <w:color w:val="000000"/>
          <w:sz w:val="24"/>
          <w:u w:val="single"/>
        </w:rPr>
        <w:t>Ordinary Course of Business</w:t>
      </w:r>
      <w:r>
        <w:rPr>
          <w:rFonts w:ascii="Times New Roman" w:hAnsi="Times New Roman"/>
          <w:color w:val="000000"/>
          <w:sz w:val="24"/>
        </w:rPr>
        <w:t>. Each of the Originators and the Seller represents and warrants as to itself that each remittance of Collections by or on behalf of such Originator to the Seller under this the Transaction Documents will have been (i) in payment of an obligation incurred by such Originator in the ordinary course of business or financial affairs of such Originator and the Seller and (ii) made in the ordinary course of business or financial affairs of such Originator and the Seller.</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(bb) </w:t>
      </w:r>
      <w:r>
        <w:rPr>
          <w:rFonts w:ascii="Times New Roman" w:hAnsi="Times New Roman"/>
          <w:color w:val="000000"/>
          <w:sz w:val="24"/>
          <w:u w:val="single"/>
        </w:rPr>
        <w:t>Good Title; Perfection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 Immediately preceding its sale or contribution of each Receivable pursuant to the Purchase and Sale Agreement, such Originator was the owner of such Receivable and Related Rights sold or contributed or purported to be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sold or contributed, as the case may be, free and clear of any Adverse Claims, and each such sale or contribution pursuant to the Purchase and Sale Agreement constitutes a valid sale or contribution, transfer and assignment of all of such Originator’s right, title and interest in, to and under the Receivables and Related Rights sold or contributed by it, free and clear of any Adverse Claims;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On or before the date hereof and before the generation by such Originator of any new Receivable to be sold, contributed or otherwise conveyed pursuant to the Purchase and Sale Agreement, all financing statements and other documents, if any, required to be recorded or filed in order to perfect and protect the Seller’s security interest in Receivables and Related Rights to be sold or otherwise conveyed pursuant to the Purchase and Sale Agreement against all creditors of and purchasers from such Originator will have been duly filed in each filing office necessary for such purpose, and all filing fees and taxes, if any, payable in connection with such filings shall have been paid in full.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Upon the creation of each new Receivable sold, contributed or otherwise conveyed or purported to be conveyed pursuant to the Purchase and Sale Agreement and on the Closing Date for then existing Receivables, the Seller shall have a valid first priority security interest in each Receivable sold to it pursuant to the Purchase and Sale Agreement, free and clear of any Adverse Claim.</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(cc) </w:t>
      </w:r>
      <w:r>
        <w:rPr>
          <w:rFonts w:ascii="Times New Roman" w:hAnsi="Times New Roman"/>
          <w:color w:val="000000"/>
          <w:sz w:val="24"/>
          <w:u w:val="single"/>
        </w:rPr>
        <w:t>Perfection Representations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The Security Documents to which it is a party (A) assigns by way of security and (B) creates a valid and continuing security interests in the Originator’s right, title and interest in, to and under the Receivables and Related Rights which (X) security interests are valid and effective, subject to standard legal reservations and (Y) will be free of all Adverse Claims;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Prior to the sale and assignment of, or grant of security interest in, the Receivables and Related Rights pursuant to Purchase and Sale Agreements, such Originator legally and beneficially owned and had good and marketable title to such Receivables and Related Rights free and clear of any Adverse Claim;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All appropriate registrations, financing statements, financing statement amendments and continuation statements have been filed in the proper filing office in the appropriate jurisdictions under Applicable Law in order to perfect (and continue the perfection of) the sale of the Receivables and Related Rights from each Originator to the Seller pursuant to the Receivables Purchase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(iv) Other than the security interest granted to the Seller pursuant to the Transaction Documents, such Originator has not pledged, assigned, sold, granted a security interest in (other than those released on the Closing Date or any other date on which a Receivable is sold or otherwise conveyed pursuant to the Purchase and Sale Agreement), or otherwise conveyed any of the Receivables or Related Rights except as permitted by this Agreement and the other Transaction Documents. Such Originator has not authorized the filing of and is not aware of any financing statements or security interests filed against such Originator that include a description of collateral covering the Receivables and Related Rights other than any financing statement or security interests (i) in favour of the Administrative Agent or (ii) that has been terminated or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amended to reflect the release of any security interest in the Receivables and Related Rights. Such Originator is not aware of any judgment lien, ERISA lien or tax lien filings against such Originator that is not released simultaneously or prior to its transfer pursuant to the Purchase and Sale Agreement;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 Notwithstanding any other provision of this Agreement or any other Transaction Document, the representations contained in this paragraph (cc) shall be continuing and remain in full force and effect until the Final Payout Date;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(dd) </w:t>
      </w:r>
      <w:r>
        <w:rPr>
          <w:rFonts w:ascii="Times New Roman" w:hAnsi="Times New Roman"/>
          <w:color w:val="000000"/>
          <w:sz w:val="24"/>
          <w:u w:val="single"/>
        </w:rPr>
        <w:t>Reliance on Separate Legal Identity</w:t>
      </w:r>
      <w:r>
        <w:rPr>
          <w:rFonts w:ascii="Times New Roman" w:hAnsi="Times New Roman"/>
          <w:color w:val="000000"/>
          <w:sz w:val="24"/>
        </w:rPr>
        <w:t>. Such Originator acknowledges that each of the Purchasers and the Administrative Agent are entering into the Transaction Documents to which they are parties in reliance upon the Seller’s identity as a legal entity separate from such Originator.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(ee) </w:t>
      </w:r>
      <w:r>
        <w:rPr>
          <w:rFonts w:ascii="Times New Roman" w:hAnsi="Times New Roman"/>
          <w:color w:val="000000"/>
          <w:sz w:val="24"/>
          <w:u w:val="single"/>
        </w:rPr>
        <w:t>Opinions</w:t>
      </w:r>
      <w:r>
        <w:rPr>
          <w:rFonts w:ascii="Times New Roman" w:hAnsi="Times New Roman"/>
          <w:color w:val="000000"/>
          <w:sz w:val="24"/>
        </w:rPr>
        <w:t>. The facts regarding such Originator, the Receivables sold by it pursuant to the Purchase and Sale Agreement, the Related Security and the related matters set forth or assumed in each of the opinions of counsel delivered in connection with this Agreement and the Transaction Documents are true and correct in all material respects.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(ff) </w:t>
      </w:r>
      <w:r>
        <w:rPr>
          <w:rFonts w:ascii="Times New Roman" w:hAnsi="Times New Roman"/>
          <w:color w:val="000000"/>
          <w:sz w:val="24"/>
          <w:u w:val="single"/>
        </w:rPr>
        <w:t>Enforceability of Contracts</w:t>
      </w:r>
      <w:r>
        <w:rPr>
          <w:rFonts w:ascii="Times New Roman" w:hAnsi="Times New Roman"/>
          <w:color w:val="000000"/>
          <w:sz w:val="24"/>
        </w:rPr>
        <w:t>. Each Contract related to any Receivable sold or contributed by such Originator pursuant to the Purchase and Sale Agreement is effective to create, and has created, a legal, valid and binding obligation of the related Obligor to pay the outstanding balance of such Receivable, enforceable against the Obligor in accordance with its terms, without being subject to any defense, deduction, offset or counterclaim and such Originator has fully performed its obligations under such Contract except as may be limited by applicable bankruptcy, insolvency, reorganization, or other similar laws affecting the enforcement of creditors’ rights generally and by general principles of equity regardless of whether enforceability is considered in a proceeding in equity or at law.</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(gg) </w:t>
      </w:r>
      <w:r>
        <w:rPr>
          <w:rFonts w:ascii="Times New Roman" w:hAnsi="Times New Roman"/>
          <w:color w:val="000000"/>
          <w:sz w:val="24"/>
          <w:u w:val="single"/>
        </w:rPr>
        <w:t>Nature of Pool Receivables</w:t>
      </w:r>
      <w:r>
        <w:rPr>
          <w:rFonts w:ascii="Times New Roman" w:hAnsi="Times New Roman"/>
          <w:color w:val="000000"/>
          <w:sz w:val="24"/>
        </w:rPr>
        <w:t>. All Pool Receivables sold or contributed by such Originator: (i) were originated by such Originator in the ordinary course of its business,(ii) were sold to the Seller for fair consideration and reasonably equivalent value, (iii) represent all, or a portion of the purchase price of merchandise, insurance or services within the meaning of Section 3(c)(5)(A) of the Investment Company Act and (iv) do not relate to, and are not secured on, Irish land or Irish land assets. The purchase of Pool Receivables with the proceeds of Investments made under the Receivables Purchase Agreement would constitute a “current transaction” for purposes of Section 3(a)(3) of the Securities Act.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(hh) </w:t>
      </w:r>
      <w:r>
        <w:rPr>
          <w:rFonts w:ascii="Times New Roman" w:hAnsi="Times New Roman"/>
          <w:color w:val="000000"/>
          <w:sz w:val="24"/>
          <w:u w:val="single"/>
        </w:rPr>
        <w:t>Compliance with Applicable Laws</w:t>
      </w:r>
      <w:r>
        <w:rPr>
          <w:rFonts w:ascii="Times New Roman" w:hAnsi="Times New Roman"/>
          <w:color w:val="000000"/>
          <w:sz w:val="24"/>
        </w:rPr>
        <w:t>. Each Originator is in compliance with the requirements of all laws, rules and regulations applicable to its property or business operations, except in such instance where any failure to comply therewith, individually or in the aggregate, could not reasonably be expected to have a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(ii) </w:t>
      </w:r>
      <w:r>
        <w:rPr>
          <w:rFonts w:ascii="Times New Roman" w:hAnsi="Times New Roman"/>
          <w:color w:val="000000"/>
          <w:sz w:val="24"/>
          <w:u w:val="single"/>
        </w:rPr>
        <w:t>Servicing Programs</w:t>
      </w:r>
      <w:r>
        <w:rPr>
          <w:rFonts w:ascii="Times New Roman" w:hAnsi="Times New Roman"/>
          <w:color w:val="000000"/>
          <w:sz w:val="24"/>
        </w:rPr>
        <w:t>. No license or approval is required for the Servicer’s or the Seller’s use of any software or other computer program used by such Originator in the servicing of the Receivables, other than those which have been obtained and are in full force and effect.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(jj) </w:t>
      </w:r>
      <w:r>
        <w:rPr>
          <w:rFonts w:ascii="Times New Roman" w:hAnsi="Times New Roman"/>
          <w:color w:val="000000"/>
          <w:sz w:val="24"/>
          <w:u w:val="single"/>
        </w:rPr>
        <w:t>Compliance with Transaction Documents</w:t>
      </w:r>
      <w:r>
        <w:rPr>
          <w:rFonts w:ascii="Times New Roman" w:hAnsi="Times New Roman"/>
          <w:color w:val="000000"/>
          <w:sz w:val="24"/>
        </w:rPr>
        <w:t>. Each Originator has complied with all of the terms, covenants and agreements contained in the other Transaction Documents to which it is a party.</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(kk) </w:t>
      </w:r>
      <w:r>
        <w:rPr>
          <w:rFonts w:ascii="Times New Roman" w:hAnsi="Times New Roman"/>
          <w:color w:val="000000"/>
          <w:sz w:val="24"/>
          <w:u w:val="single"/>
        </w:rPr>
        <w:t>Reaffirmation of Representations and Warranties by each Originator</w:t>
      </w:r>
      <w:r>
        <w:rPr>
          <w:rFonts w:ascii="Times New Roman" w:hAnsi="Times New Roman"/>
          <w:color w:val="000000"/>
          <w:sz w:val="24"/>
        </w:rPr>
        <w:t>. On each day that a new Receivable is created, and when sold or contributed to the Seller pursuant to the Purchase and Sale Agreement, such Originator shall be deemed to have certified that all representations and warranties set forth in this Schedule 3 (</w:t>
      </w:r>
      <w:r>
        <w:rPr>
          <w:rFonts w:ascii="Times New Roman" w:hAnsi="Times New Roman"/>
          <w:i/>
          <w:color w:val="000000"/>
          <w:sz w:val="24"/>
        </w:rPr>
        <w:t>Representations and Warranties</w:t>
      </w:r>
      <w:r>
        <w:rPr>
          <w:rFonts w:ascii="Times New Roman" w:hAnsi="Times New Roman"/>
          <w:color w:val="000000"/>
          <w:sz w:val="24"/>
        </w:rPr>
        <w:t>) Part 4 (</w:t>
      </w:r>
      <w:r>
        <w:rPr>
          <w:rFonts w:ascii="Times New Roman" w:hAnsi="Times New Roman"/>
          <w:i/>
          <w:color w:val="000000"/>
          <w:sz w:val="24"/>
        </w:rPr>
        <w:t>Representations</w:t>
      </w:r>
      <w:r>
        <w:rPr>
          <w:rFonts w:ascii="Times New Roman" w:hAnsi="Times New Roman"/>
          <w:color w:val="000000"/>
          <w:sz w:val="24"/>
        </w:rPr>
        <w:t xml:space="preserve"> </w:t>
      </w:r>
      <w:r>
        <w:rPr>
          <w:rFonts w:ascii="Times New Roman" w:hAnsi="Times New Roman"/>
          <w:i/>
          <w:color w:val="000000"/>
          <w:sz w:val="24"/>
        </w:rPr>
        <w:t>and</w:t>
      </w:r>
      <w:r>
        <w:rPr>
          <w:rFonts w:ascii="Times New Roman" w:hAnsi="Times New Roman"/>
          <w:color w:val="000000"/>
          <w:sz w:val="24"/>
        </w:rPr>
        <w:t xml:space="preserve"> </w:t>
      </w:r>
      <w:r>
        <w:rPr>
          <w:rFonts w:ascii="Times New Roman" w:hAnsi="Times New Roman"/>
          <w:i/>
          <w:color w:val="000000"/>
          <w:sz w:val="24"/>
        </w:rPr>
        <w:t>Warranties</w:t>
      </w:r>
      <w:r>
        <w:rPr>
          <w:rFonts w:ascii="Times New Roman" w:hAnsi="Times New Roman"/>
          <w:color w:val="000000"/>
          <w:sz w:val="24"/>
        </w:rPr>
        <w:t xml:space="preserve"> </w:t>
      </w:r>
      <w:r>
        <w:rPr>
          <w:rFonts w:ascii="Times New Roman" w:hAnsi="Times New Roman"/>
          <w:i/>
          <w:color w:val="000000"/>
          <w:sz w:val="24"/>
        </w:rPr>
        <w:t>of</w:t>
      </w:r>
      <w:r>
        <w:rPr>
          <w:rFonts w:ascii="Times New Roman" w:hAnsi="Times New Roman"/>
          <w:color w:val="000000"/>
          <w:sz w:val="24"/>
        </w:rPr>
        <w:t xml:space="preserve"> </w:t>
      </w:r>
      <w:r>
        <w:rPr>
          <w:rFonts w:ascii="Times New Roman" w:hAnsi="Times New Roman"/>
          <w:i/>
          <w:color w:val="000000"/>
          <w:sz w:val="24"/>
        </w:rPr>
        <w:t>the</w:t>
      </w:r>
      <w:r>
        <w:rPr>
          <w:rFonts w:ascii="Times New Roman" w:hAnsi="Times New Roman"/>
          <w:color w:val="000000"/>
          <w:sz w:val="24"/>
        </w:rPr>
        <w:t xml:space="preserve"> </w:t>
      </w:r>
      <w:r>
        <w:rPr>
          <w:rFonts w:ascii="Times New Roman" w:hAnsi="Times New Roman"/>
          <w:i/>
          <w:color w:val="000000"/>
          <w:sz w:val="24"/>
        </w:rPr>
        <w:t>Originators</w:t>
      </w:r>
      <w:r>
        <w:rPr>
          <w:rFonts w:ascii="Times New Roman" w:hAnsi="Times New Roman"/>
          <w:color w:val="000000"/>
          <w:sz w:val="24"/>
        </w:rPr>
        <w:t>) are true and correct in all material respects (unless such representation or warranty contains a materiality qualification and, in such case, such representation or warranty shall be true and correct as made) on and as of such day (except for representations and warranties which apply as to an earlier date, in which case such representations and warranties shall be true and correct as of such earlier date). Notwithstanding any other provision of this Agreement or any other Transaction Document, the representations contained in this paragraph shall be continuing and remain in full force and effect until the Final Payout Date.</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(ll) </w:t>
      </w:r>
      <w:r>
        <w:rPr>
          <w:rFonts w:ascii="Times New Roman" w:hAnsi="Times New Roman"/>
          <w:color w:val="000000"/>
          <w:sz w:val="24"/>
          <w:u w:val="single"/>
        </w:rPr>
        <w:t>Affected Financial Institution.</w:t>
      </w:r>
      <w:r>
        <w:rPr>
          <w:rFonts w:ascii="Times New Roman" w:hAnsi="Times New Roman"/>
          <w:color w:val="000000"/>
          <w:sz w:val="24"/>
        </w:rPr>
        <w:t xml:space="preserve"> No Originator is an Affected Financial</w:t>
      </w:r>
    </w:p>
    <w:p>
      <w:pPr>
        <w:pStyle w:val="TextBody"/>
        <w:bidi w:val="0"/>
        <w:jc w:val="left"/>
        <w:rPr>
          <w:rFonts w:ascii="Times New Roman" w:hAnsi="Times New Roman"/>
          <w:color w:val="000000"/>
          <w:sz w:val="24"/>
        </w:rPr>
      </w:pPr>
      <w:r>
        <w:rPr>
          <w:rFonts w:ascii="Times New Roman" w:hAnsi="Times New Roman"/>
          <w:color w:val="000000"/>
          <w:sz w:val="24"/>
        </w:rPr>
        <w:t>Institution.</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(mm) </w:t>
      </w:r>
      <w:r>
        <w:rPr>
          <w:rFonts w:ascii="Times New Roman" w:hAnsi="Times New Roman"/>
          <w:color w:val="000000"/>
          <w:sz w:val="24"/>
          <w:u w:val="single"/>
        </w:rPr>
        <w:t>Italian Originators.</w:t>
      </w:r>
      <w:r>
        <w:rPr>
          <w:rFonts w:ascii="Times New Roman" w:hAnsi="Times New Roman"/>
          <w:color w:val="000000"/>
          <w:sz w:val="24"/>
        </w:rPr>
        <w:t xml:space="preserve"> (i) None of the circumstances set out in Article 2447or in Article 2482-ter, as the case may be, of the Italian Civil Code has arisen and is continuing in respect of any Italian Originator on the date of this Agreement and on the Closing Date; and (ii) no Italian Originator has created any segregated pool of assets (</w:t>
      </w:r>
      <w:r>
        <w:rPr>
          <w:rFonts w:ascii="Times New Roman" w:hAnsi="Times New Roman"/>
          <w:i/>
          <w:color w:val="000000"/>
          <w:sz w:val="24"/>
        </w:rPr>
        <w:t>patrimono</w:t>
      </w:r>
      <w:r>
        <w:rPr>
          <w:rFonts w:ascii="Times New Roman" w:hAnsi="Times New Roman"/>
          <w:color w:val="000000"/>
          <w:sz w:val="24"/>
        </w:rPr>
        <w:t xml:space="preserve"> </w:t>
      </w:r>
      <w:r>
        <w:rPr>
          <w:rFonts w:ascii="Times New Roman" w:hAnsi="Times New Roman"/>
          <w:i/>
          <w:color w:val="000000"/>
          <w:sz w:val="24"/>
        </w:rPr>
        <w:t>destinato</w:t>
      </w:r>
      <w:r>
        <w:rPr>
          <w:rFonts w:ascii="Times New Roman" w:hAnsi="Times New Roman"/>
          <w:color w:val="000000"/>
          <w:sz w:val="24"/>
        </w:rPr>
        <w:t xml:space="preserve"> </w:t>
      </w:r>
      <w:r>
        <w:rPr>
          <w:rFonts w:ascii="Times New Roman" w:hAnsi="Times New Roman"/>
          <w:i/>
          <w:color w:val="000000"/>
          <w:sz w:val="24"/>
        </w:rPr>
        <w:t>ad</w:t>
      </w:r>
      <w:r>
        <w:rPr>
          <w:rFonts w:ascii="Times New Roman" w:hAnsi="Times New Roman"/>
          <w:color w:val="000000"/>
          <w:sz w:val="24"/>
        </w:rPr>
        <w:t xml:space="preserve"> </w:t>
      </w:r>
      <w:r>
        <w:rPr>
          <w:rFonts w:ascii="Times New Roman" w:hAnsi="Times New Roman"/>
          <w:i/>
          <w:color w:val="000000"/>
          <w:sz w:val="24"/>
        </w:rPr>
        <w:t>uno specifico affare</w:t>
      </w:r>
      <w:r>
        <w:rPr>
          <w:rFonts w:ascii="Times New Roman" w:hAnsi="Times New Roman"/>
          <w:color w:val="000000"/>
          <w:sz w:val="24"/>
        </w:rPr>
        <w:t xml:space="preserve">) nor incurred any </w:t>
      </w:r>
      <w:r>
        <w:rPr>
          <w:rFonts w:ascii="Times New Roman" w:hAnsi="Times New Roman"/>
          <w:i/>
          <w:color w:val="000000"/>
          <w:sz w:val="24"/>
        </w:rPr>
        <w:t xml:space="preserve">finanziamento destinato ad uno specifico affare </w:t>
      </w:r>
      <w:r>
        <w:rPr>
          <w:rFonts w:ascii="Times New Roman" w:hAnsi="Times New Roman"/>
          <w:color w:val="000000"/>
          <w:sz w:val="24"/>
        </w:rPr>
        <w:t>pursuant to article 2447-bis and following of the Italian Civil Code.</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(nn) </w:t>
      </w:r>
      <w:r>
        <w:rPr>
          <w:rFonts w:ascii="Times New Roman" w:hAnsi="Times New Roman"/>
          <w:color w:val="000000"/>
          <w:sz w:val="24"/>
          <w:u w:val="single"/>
        </w:rPr>
        <w:t>Foreign Tax.</w:t>
      </w:r>
      <w:r>
        <w:rPr>
          <w:rFonts w:ascii="Times New Roman" w:hAnsi="Times New Roman"/>
          <w:color w:val="000000"/>
          <w:sz w:val="24"/>
        </w:rPr>
        <w:t xml:space="preserve"> The Swiss Originator only represents and warrants that</w:t>
      </w:r>
    </w:p>
    <w:p>
      <w:pPr>
        <w:pStyle w:val="TextBody"/>
        <w:bidi w:val="0"/>
        <w:jc w:val="left"/>
        <w:rPr>
          <w:rFonts w:ascii="Times New Roman" w:hAnsi="Times New Roman"/>
          <w:color w:val="000000"/>
          <w:sz w:val="24"/>
        </w:rPr>
      </w:pPr>
      <w:r>
        <w:rPr>
          <w:rFonts w:ascii="Times New Roman" w:hAnsi="Times New Roman"/>
          <w:color w:val="000000"/>
          <w:sz w:val="24"/>
        </w:rPr>
        <w:t>either: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any interest received from the Seller under the Transaction Documents will be treated as interest income for the purposes of Foreign Tax and no deduction will be claimed by it for the purposes of Foreign Tax in respect of the payment of such interest income to it;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a corresponding amount to the deduction for or on account of tax which the Seller would take in Ireland with respect to interest or other distributions payable to it under the Transaction Documents will be included (within the meaning of section 835Z of the TCA) by it in its jurisdiction of incorporation. Notwithstanding any other provision of this Agreement or any other Transaction Document, the representations and warranties contained in this Section shall be continuing, and remain in full force and effect until the Final Payout Date.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SCHEDULE 4</w:t>
      </w:r>
    </w:p>
    <w:p>
      <w:pPr>
        <w:pStyle w:val="Heading1"/>
        <w:bidi w:val="0"/>
        <w:jc w:val="center"/>
        <w:rPr>
          <w:rFonts w:ascii="Times New Roman" w:hAnsi="Times New Roman"/>
          <w:color w:val="000000"/>
          <w:sz w:val="24"/>
        </w:rPr>
      </w:pPr>
      <w:r>
        <w:rPr>
          <w:rFonts w:ascii="Times New Roman" w:hAnsi="Times New Roman"/>
          <w:color w:val="000000"/>
          <w:sz w:val="24"/>
        </w:rPr>
        <w:t>COVENANTS</w:t>
      </w:r>
    </w:p>
    <w:p>
      <w:pPr>
        <w:pStyle w:val="Heading2"/>
        <w:bidi w:val="0"/>
        <w:spacing w:before="240" w:after="283"/>
        <w:jc w:val="center"/>
        <w:rPr>
          <w:rFonts w:ascii="Times New Roman" w:hAnsi="Times New Roman"/>
          <w:color w:val="000000"/>
          <w:sz w:val="24"/>
        </w:rPr>
      </w:pPr>
      <w:r>
        <w:rPr>
          <w:rFonts w:ascii="Times New Roman" w:hAnsi="Times New Roman"/>
          <w:color w:val="000000"/>
          <w:sz w:val="24"/>
        </w:rPr>
        <w:t>Part 1</w:t>
      </w:r>
    </w:p>
    <w:p>
      <w:pPr>
        <w:pStyle w:val="Heading2"/>
        <w:bidi w:val="0"/>
        <w:jc w:val="center"/>
        <w:rPr>
          <w:rFonts w:ascii="Times New Roman" w:hAnsi="Times New Roman"/>
          <w:color w:val="000000"/>
          <w:sz w:val="24"/>
        </w:rPr>
      </w:pPr>
      <w:r>
        <w:rPr>
          <w:rFonts w:ascii="Times New Roman" w:hAnsi="Times New Roman"/>
          <w:color w:val="000000"/>
          <w:sz w:val="24"/>
        </w:rPr>
        <w:t>Covenants of the Seller</w:t>
      </w:r>
    </w:p>
    <w:p>
      <w:pPr>
        <w:pStyle w:val="TextBody"/>
        <w:bidi w:val="0"/>
        <w:spacing w:before="240" w:after="283"/>
        <w:jc w:val="left"/>
        <w:rPr>
          <w:rFonts w:ascii="Times New Roman" w:hAnsi="Times New Roman"/>
          <w:sz w:val="24"/>
        </w:rPr>
      </w:pPr>
      <w:r>
        <w:rPr>
          <w:rFonts w:ascii="Times New Roman" w:hAnsi="Times New Roman"/>
          <w:color w:val="000000"/>
          <w:sz w:val="24"/>
          <w:u w:val="single"/>
        </w:rPr>
        <w:t>Covenants of the Seller</w:t>
      </w:r>
      <w:r>
        <w:rPr>
          <w:rFonts w:ascii="Times New Roman" w:hAnsi="Times New Roman"/>
          <w:color w:val="000000"/>
          <w:sz w:val="24"/>
        </w:rPr>
        <w:t>. At all times from the Closing Date until the Final Payout Date: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Payment of Principal and Yield</w:t>
      </w:r>
      <w:r>
        <w:rPr>
          <w:rFonts w:ascii="Times New Roman" w:hAnsi="Times New Roman"/>
          <w:color w:val="000000"/>
          <w:sz w:val="24"/>
        </w:rPr>
        <w:t>. The Seller shall duly and punctually pay Capital, Yield, Fees and all other amounts payable by the Seller hereunder in accordance with the terms of the Receivables Purchase Agreement.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Existence</w:t>
      </w:r>
      <w:r>
        <w:rPr>
          <w:rFonts w:ascii="Times New Roman" w:hAnsi="Times New Roman"/>
          <w:color w:val="000000"/>
          <w:sz w:val="24"/>
        </w:rPr>
        <w:t>. The Seller shall keep in full force and effect its existence and rights as a designated activity company under the laws of Ireland, and shall obtain and preserve its qualification to do business in each jurisdiction in which such qualification is or shall be necessary to protect the validity and enforceability of this Agreement, the other Transaction Documents, the Sold Assets and the Seller Collateral, except to the extent the failure to be so duly organized, in good standing or to maintain authority would not reasonably be expected to have a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Financial Reporting</w:t>
      </w:r>
      <w:r>
        <w:rPr>
          <w:rFonts w:ascii="Times New Roman" w:hAnsi="Times New Roman"/>
          <w:color w:val="000000"/>
          <w:sz w:val="24"/>
        </w:rPr>
        <w:t>. The Seller will maintain a system of accounting established and administered in accordance with GAAP, and the Seller (or the Servicer on its behalf) shall furnish to the Administrative Agent and each Group Agent: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 </w:t>
      </w:r>
      <w:r>
        <w:rPr>
          <w:rFonts w:ascii="Times New Roman" w:hAnsi="Times New Roman"/>
          <w:color w:val="000000"/>
          <w:sz w:val="24"/>
          <w:u w:val="single"/>
        </w:rPr>
        <w:t>Annual Financial Statements of the Seller</w:t>
      </w:r>
      <w:r>
        <w:rPr>
          <w:rFonts w:ascii="Times New Roman" w:hAnsi="Times New Roman"/>
          <w:i/>
          <w:color w:val="000000"/>
          <w:sz w:val="24"/>
        </w:rPr>
        <w:t>.</w:t>
      </w:r>
      <w:r>
        <w:rPr>
          <w:rFonts w:ascii="Times New Roman" w:hAnsi="Times New Roman"/>
          <w:color w:val="000000"/>
          <w:sz w:val="24"/>
        </w:rPr>
        <w:t xml:space="preserve"> Promptly upon completion and in no event later than 90 days after the close of each fiscal year of the Seller, annual unaudited financial statements of the Seller certified by a Financial Officer of the Seller that they fairly present in all material respects, in accordance with GAAP, the financial condition of the Seller as of the date indicated and the results of its operations for the periods indicated.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(ii) </w:t>
      </w:r>
      <w:r>
        <w:rPr>
          <w:rFonts w:ascii="Times New Roman" w:hAnsi="Times New Roman"/>
          <w:color w:val="000000"/>
          <w:sz w:val="24"/>
          <w:u w:val="single"/>
        </w:rPr>
        <w:t>Quarterly Financial Statements of the Seller</w:t>
      </w:r>
      <w:r>
        <w:rPr>
          <w:rFonts w:ascii="Times New Roman" w:hAnsi="Times New Roman"/>
          <w:i/>
          <w:color w:val="000000"/>
          <w:sz w:val="24"/>
        </w:rPr>
        <w:t>.</w:t>
      </w:r>
      <w:r>
        <w:rPr>
          <w:rFonts w:ascii="Times New Roman" w:hAnsi="Times New Roman"/>
          <w:color w:val="000000"/>
          <w:sz w:val="24"/>
        </w:rPr>
        <w:t xml:space="preserve"> Promptly upon completion and in no event later than 45 days following the end of each of the first three fiscal quarters in each of the Seller’s fiscal years, quarterly unaudited financial statements of the Seller certified by a Financial Officer of the Seller that they fairly present in all material respects, in accordance with GAAP, the financial condition of the Seller as of the date indicated and the results of its operations for the periods indicated.</w:t>
      </w:r>
    </w:p>
    <w:p>
      <w:pPr>
        <w:pStyle w:val="TextBody"/>
        <w:bidi w:val="0"/>
        <w:jc w:val="both"/>
        <w:rPr>
          <w:rFonts w:ascii="Times New Roman" w:hAnsi="Times New Roman"/>
          <w:sz w:val="24"/>
        </w:rPr>
      </w:pPr>
      <w:r>
        <w:rPr>
          <w:rFonts w:ascii="Times New Roman" w:hAnsi="Times New Roman"/>
          <w:color w:val="000000"/>
          <w:sz w:val="24"/>
        </w:rPr>
        <w:t xml:space="preserve">(iii) </w:t>
      </w:r>
      <w:r>
        <w:rPr>
          <w:rFonts w:ascii="Times New Roman" w:hAnsi="Times New Roman"/>
          <w:color w:val="000000"/>
          <w:sz w:val="24"/>
          <w:u w:val="single"/>
        </w:rPr>
        <w:t>Information Packages and Weekly Reports</w:t>
      </w:r>
      <w:r>
        <w:rPr>
          <w:rFonts w:ascii="Times New Roman" w:hAnsi="Times New Roman"/>
          <w:color w:val="000000"/>
          <w:sz w:val="24"/>
        </w:rPr>
        <w:t xml:space="preserve">. By no later than 5:00 p.m. (London time) on each Monthly Reporting Date (and, during the continuation of an Event of Termination or an Unmatured Event of Termination, within three (3) Business Days after a request from the Administrative Agent or any Group Agent), the Servicer (or the Seller on its behalf) shall prepare and forward to the Administrative Agent and each Group Agent an Information Package, certified by the Servicer. In addition to the foregoing, at such times as (a) the Performance Guarantor’s unsecured debt has a public rating from S&amp;P below “BB-”, (b) the Performance Guarantor’s unsecured debt has a public rating from Moody’s below “Ba3”, or (c) the occurrence and during the continuation of an Event of Default in accordance with </w:t>
      </w:r>
      <w:r>
        <w:rPr>
          <w:rFonts w:ascii="Times New Roman" w:hAnsi="Times New Roman"/>
          <w:color w:val="000000"/>
          <w:sz w:val="24"/>
          <w:u w:val="single"/>
        </w:rPr>
        <w:t>Section</w:t>
      </w:r>
      <w:r>
        <w:rPr>
          <w:rFonts w:ascii="Times New Roman" w:hAnsi="Times New Roman"/>
          <w:color w:val="000000"/>
          <w:sz w:val="24"/>
        </w:rPr>
        <w:t xml:space="preserve"> </w:t>
      </w:r>
      <w:r>
        <w:rPr>
          <w:rFonts w:ascii="Times New Roman" w:hAnsi="Times New Roman"/>
          <w:color w:val="000000"/>
          <w:sz w:val="24"/>
          <w:u w:val="single"/>
        </w:rPr>
        <w:t>6.04(a)(vii)</w:t>
      </w:r>
      <w:r>
        <w:rPr>
          <w:rFonts w:ascii="Times New Roman" w:hAnsi="Times New Roman"/>
          <w:color w:val="000000"/>
          <w:sz w:val="24"/>
        </w:rPr>
        <w:t xml:space="preserve"> of the Receivables Purchase Agreement, the Servicer shall be obligated to prepare and forward to the Administrative Agent and each Group Agent a Weekly Report on every Thursday of each calendar week (or the next Business Day if such day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is not a Business Day), certified by the Servicer (or the Seller on its behalf). The reporting period covered by a Weekly Report shall be the period ending on (and including) the Friday preceding the applicable reporting date and beginning on (and including) the Saturday preceding such Friday.</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(iv) </w:t>
      </w:r>
      <w:r>
        <w:rPr>
          <w:rFonts w:ascii="Times New Roman" w:hAnsi="Times New Roman"/>
          <w:color w:val="000000"/>
          <w:sz w:val="24"/>
          <w:u w:val="single"/>
        </w:rPr>
        <w:t>Other Information</w:t>
      </w:r>
      <w:r>
        <w:rPr>
          <w:rFonts w:ascii="Times New Roman" w:hAnsi="Times New Roman"/>
          <w:i/>
          <w:color w:val="000000"/>
          <w:sz w:val="24"/>
        </w:rPr>
        <w:t>.</w:t>
      </w:r>
      <w:r>
        <w:rPr>
          <w:rFonts w:ascii="Times New Roman" w:hAnsi="Times New Roman"/>
          <w:color w:val="000000"/>
          <w:sz w:val="24"/>
        </w:rPr>
        <w:t xml:space="preserve"> Such other information (including non-financial information) as the Administrative Agent or any Group Agent may from time to time reasonably request.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(v) </w:t>
      </w:r>
      <w:r>
        <w:rPr>
          <w:rFonts w:ascii="Times New Roman" w:hAnsi="Times New Roman"/>
          <w:color w:val="000000"/>
          <w:sz w:val="24"/>
          <w:u w:val="single"/>
        </w:rPr>
        <w:t>Quarterly Financial Statements of the Performance Guarantor</w:t>
      </w:r>
      <w:r>
        <w:rPr>
          <w:rFonts w:ascii="Times New Roman" w:hAnsi="Times New Roman"/>
          <w:color w:val="000000"/>
          <w:sz w:val="24"/>
        </w:rPr>
        <w:t>. As soon as available and in no event later than 45 days following the end of each of the first three fiscal quarters in each of the Performance Guarantor’s fiscal years, (i) the unaudited consolidated balance sheet and statements of income of the Performance Guarantor and its consolidated Subsidiaries as at the end of such fiscal quarter and the related unaudited consolidated statements of earnings and cash flows for such fiscal quarter and for the elapsed portion of the fiscal year ended with the last day of such fiscal quarter, in each case setting forth comparative figures for the corresponding fiscal quarter in the prior fiscal year, all of which shall be certified by a Financial Officer of the Performance Guarantor that they fairly present in all material respects, in accordance with GAAP, the financial condition of the Performance Guarantor and its consolidated Subsidiaries as of the dates indicated and the results of their operations for the periods indicated, subject to normal year-end audit adjustments and the absence of footnotes and (ii) management’s discussion and analysis of the important operational and financial developments during such fiscal quarter.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(vi) </w:t>
      </w:r>
      <w:r>
        <w:rPr>
          <w:rFonts w:ascii="Times New Roman" w:hAnsi="Times New Roman"/>
          <w:color w:val="000000"/>
          <w:sz w:val="24"/>
          <w:u w:val="single"/>
        </w:rPr>
        <w:t>Annual Financial Statements of the Performance Guarantor</w:t>
      </w:r>
      <w:r>
        <w:rPr>
          <w:rFonts w:ascii="Times New Roman" w:hAnsi="Times New Roman"/>
          <w:color w:val="000000"/>
          <w:sz w:val="24"/>
        </w:rPr>
        <w:t>. Within 90 days after the close of each of the Performance Guarantor’s fiscal years, the consolidated balance sheet of the Performance Guarantor and its consolidated Subsidiaries as at the end of such fiscal year and the related consolidated statements of earnings and cash flows for such fiscal year setting forth comparative figures for the preceding fiscal year, all reported on by independent certified public accountants of recognized national standing (without (x) a “going concern” or like qualification or exception or (y) a qualification as to the scope of the audit) to the effect that such consolidated financial statements present fairly in all material respects, in accordance with GAAP, the financial condition of the Performance Guarantor and its consolidated Subsidiaries as of the dates indicated and the results of their operations for the periods indicated.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(vii) </w:t>
      </w:r>
      <w:r>
        <w:rPr>
          <w:rFonts w:ascii="Times New Roman" w:hAnsi="Times New Roman"/>
          <w:color w:val="000000"/>
          <w:sz w:val="24"/>
          <w:u w:val="single"/>
        </w:rPr>
        <w:t>Other Reports and Filings</w:t>
      </w:r>
      <w:r>
        <w:rPr>
          <w:rFonts w:ascii="Times New Roman" w:hAnsi="Times New Roman"/>
          <w:color w:val="000000"/>
          <w:sz w:val="24"/>
        </w:rPr>
        <w:t>. Promptly (but in any event within ten days) after the filing or delivery thereof, copies of all financial information, proxy materials and reports, if any, which the Performance Guarantor or any of its consolidated Subsidiaries shall publicly file with the SEC or deliver to holders (or any trustee, agent or other representative therefor) of any of its material Debt pursuant to the terms of the documentation governing the same.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(viii) Notwithstanding anything herein to the contrary, any financial information, proxy statements or other material required to be delivered pursuant to this </w:t>
      </w:r>
      <w:r>
        <w:rPr>
          <w:rFonts w:ascii="Times New Roman" w:hAnsi="Times New Roman"/>
          <w:color w:val="000000"/>
          <w:sz w:val="24"/>
          <w:u w:val="single"/>
        </w:rPr>
        <w:t>paragraph (c)</w:t>
      </w:r>
      <w:r>
        <w:rPr>
          <w:rFonts w:ascii="Times New Roman" w:hAnsi="Times New Roman"/>
          <w:color w:val="000000"/>
          <w:sz w:val="24"/>
        </w:rPr>
        <w:t xml:space="preserve"> shall be deemed to have been furnished to each of the Administrative Agent and each Group Agent on the date that such report, proxy statement or other material is posted on the SEC’s website at </w:t>
      </w:r>
      <w:r>
        <w:rPr>
          <w:rFonts w:ascii="Times New Roman" w:hAnsi="Times New Roman"/>
          <w:sz w:val="24"/>
        </w:rPr>
        <w:t>www.sec.gov.</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(d) </w:t>
      </w:r>
      <w:r>
        <w:rPr>
          <w:rFonts w:ascii="Times New Roman" w:hAnsi="Times New Roman"/>
          <w:color w:val="000000"/>
          <w:sz w:val="24"/>
          <w:u w:val="single"/>
        </w:rPr>
        <w:t>Notices</w:t>
      </w:r>
      <w:r>
        <w:rPr>
          <w:rFonts w:ascii="Times New Roman" w:hAnsi="Times New Roman"/>
          <w:color w:val="000000"/>
          <w:sz w:val="24"/>
        </w:rPr>
        <w:t>. The Seller (or the Servicer on its behalf) will notify the Administrative Agent and each Group Agent in writing of any of the following events promptly upon (but in no event later than five (5) Business Days after) a Financial Officer or other officer learning of the occurrence thereof, with such notice describing the same, and if applicable, the steps being taken by the Person(s) affected with respect thereto:</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 </w:t>
      </w:r>
      <w:r>
        <w:rPr>
          <w:rFonts w:ascii="Times New Roman" w:hAnsi="Times New Roman"/>
          <w:color w:val="000000"/>
          <w:sz w:val="24"/>
          <w:u w:val="single"/>
        </w:rPr>
        <w:t>Notice of Events of Termination or Unmatured Events of</w:t>
      </w:r>
      <w:r>
        <w:rPr>
          <w:rFonts w:ascii="Times New Roman" w:hAnsi="Times New Roman"/>
          <w:color w:val="000000"/>
          <w:sz w:val="24"/>
        </w:rPr>
        <w:t xml:space="preserve"> </w:t>
      </w:r>
      <w:r>
        <w:rPr>
          <w:rFonts w:ascii="Times New Roman" w:hAnsi="Times New Roman"/>
          <w:color w:val="000000"/>
          <w:sz w:val="24"/>
          <w:u w:val="single"/>
        </w:rPr>
        <w:t>Termination</w:t>
      </w:r>
      <w:r>
        <w:rPr>
          <w:rFonts w:ascii="Times New Roman" w:hAnsi="Times New Roman"/>
          <w:color w:val="000000"/>
          <w:sz w:val="24"/>
        </w:rPr>
        <w:t>. A statement of a Financial Officer of the Seller setting forth details of any Event of Termination or Unmatured Event of Termination that has occurred and is continuing and the action which the Seller proposes to take with respect thereto.</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(ii) </w:t>
      </w:r>
      <w:r>
        <w:rPr>
          <w:rFonts w:ascii="Times New Roman" w:hAnsi="Times New Roman"/>
          <w:color w:val="000000"/>
          <w:sz w:val="24"/>
          <w:u w:val="single"/>
        </w:rPr>
        <w:t>Litigation</w:t>
      </w:r>
      <w:r>
        <w:rPr>
          <w:rFonts w:ascii="Times New Roman" w:hAnsi="Times New Roman"/>
          <w:color w:val="000000"/>
          <w:sz w:val="24"/>
        </w:rPr>
        <w:t>. The institution of any litigation, arbitration proceeding or governmental proceeding with respect to the Seller, the Servicer, any Performance Guarantor or any Originator, which with respect to any Person other than the Seller, could reasonably be expected to have a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(iii) </w:t>
      </w:r>
      <w:r>
        <w:rPr>
          <w:rFonts w:ascii="Times New Roman" w:hAnsi="Times New Roman"/>
          <w:color w:val="000000"/>
          <w:sz w:val="24"/>
          <w:u w:val="single"/>
        </w:rPr>
        <w:t>Adverse Claim</w:t>
      </w:r>
      <w:r>
        <w:rPr>
          <w:rFonts w:ascii="Times New Roman" w:hAnsi="Times New Roman"/>
          <w:i/>
          <w:color w:val="000000"/>
          <w:sz w:val="24"/>
        </w:rPr>
        <w:t>.</w:t>
      </w:r>
      <w:r>
        <w:rPr>
          <w:rFonts w:ascii="Times New Roman" w:hAnsi="Times New Roman"/>
          <w:color w:val="000000"/>
          <w:sz w:val="24"/>
        </w:rPr>
        <w:t xml:space="preserve"> (A) Any Person shall obtain an Adverse Claim upon the Sold Assets or Seller Collateral or any portion thereof, (B) any Person other than the Seller, the Servicer or the Administrative Agent shall obtain any rights or direct any action with respect to any Collection Account or Seller Collection Account or (C) any Obligor shall receive any change in payment instructions with respect to Pool Receivable(s) from a Person other than the Servicer or the Administrative Agent.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(iv) </w:t>
      </w:r>
      <w:r>
        <w:rPr>
          <w:rFonts w:ascii="Times New Roman" w:hAnsi="Times New Roman"/>
          <w:color w:val="000000"/>
          <w:sz w:val="24"/>
          <w:u w:val="single"/>
        </w:rPr>
        <w:t>Change in Name or Jurisdiction of Organization, etc</w:t>
      </w:r>
      <w:r>
        <w:rPr>
          <w:rFonts w:ascii="Times New Roman" w:hAnsi="Times New Roman"/>
          <w:color w:val="000000"/>
          <w:sz w:val="24"/>
        </w:rPr>
        <w:t>. At least thirty (30) days before any change in any Originator’s or the Seller’s name, jurisdiction of organization or any other change requiring the amendment of security filings.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(v) </w:t>
      </w:r>
      <w:r>
        <w:rPr>
          <w:rFonts w:ascii="Times New Roman" w:hAnsi="Times New Roman"/>
          <w:color w:val="000000"/>
          <w:sz w:val="24"/>
          <w:u w:val="single"/>
        </w:rPr>
        <w:t>Change in Accountants or Accounting Policy</w:t>
      </w:r>
      <w:r>
        <w:rPr>
          <w:rFonts w:ascii="Times New Roman" w:hAnsi="Times New Roman"/>
          <w:color w:val="000000"/>
          <w:sz w:val="24"/>
        </w:rPr>
        <w:t>. Any change in (i) the external accountants of the Seller, the Servicer, any Originator, the Parent or the Performance Guarantor, (ii) any accounting policy of the Seller or (iii) any material accounting policy of any Originator that is relevant to the transactions contemplated by the Receivables Purchase Agreement or any other Transaction Document (it being understood that any change to the manner in which any Originator accounts for the Pool Receivables shall be deemed “material” for such purpose).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(vi) </w:t>
      </w:r>
      <w:r>
        <w:rPr>
          <w:rFonts w:ascii="Times New Roman" w:hAnsi="Times New Roman"/>
          <w:color w:val="000000"/>
          <w:sz w:val="24"/>
          <w:u w:val="single"/>
        </w:rPr>
        <w:t>Termination Event</w:t>
      </w:r>
      <w:r>
        <w:rPr>
          <w:rFonts w:ascii="Times New Roman" w:hAnsi="Times New Roman"/>
          <w:color w:val="000000"/>
          <w:sz w:val="24"/>
        </w:rPr>
        <w:t>. The occurrence of a Purchase and Sale Termination Event under any Purchase and Sale Agreement.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(vii) </w:t>
      </w:r>
      <w:r>
        <w:rPr>
          <w:rFonts w:ascii="Times New Roman" w:hAnsi="Times New Roman"/>
          <w:color w:val="000000"/>
          <w:sz w:val="24"/>
          <w:u w:val="single"/>
        </w:rPr>
        <w:t>Material Adverse Change.</w:t>
      </w:r>
      <w:r>
        <w:rPr>
          <w:rFonts w:ascii="Times New Roman" w:hAnsi="Times New Roman"/>
          <w:color w:val="000000"/>
          <w:sz w:val="24"/>
        </w:rPr>
        <w:t xml:space="preserve"> Promptly after the occurrence thereof, notice of any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(e) </w:t>
      </w:r>
      <w:r>
        <w:rPr>
          <w:rFonts w:ascii="Times New Roman" w:hAnsi="Times New Roman"/>
          <w:color w:val="000000"/>
          <w:sz w:val="24"/>
          <w:u w:val="single"/>
        </w:rPr>
        <w:t>Conduct of Business</w:t>
      </w:r>
      <w:r>
        <w:rPr>
          <w:rFonts w:ascii="Times New Roman" w:hAnsi="Times New Roman"/>
          <w:color w:val="000000"/>
          <w:sz w:val="24"/>
        </w:rPr>
        <w:t>. The Seller will carry on and conduct its business in substantially the same manner and in substantially the same fields of enterprise as it is presently conducted and will do all things necessary to remain duly organized, validly existing and in good standing as a domestic organization in its jurisdiction of organization and maintain all requisite authority to conduct its business in each jurisdiction in which its business is conducted, except to the extent the failure to be so duly organized, in good standing or to maintain authority would not reasonably be expected to have a Material Adverse Effect.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(f) </w:t>
      </w:r>
      <w:r>
        <w:rPr>
          <w:rFonts w:ascii="Times New Roman" w:hAnsi="Times New Roman"/>
          <w:color w:val="000000"/>
          <w:sz w:val="24"/>
          <w:u w:val="single"/>
        </w:rPr>
        <w:t>Compliance with Laws</w:t>
      </w:r>
      <w:r>
        <w:rPr>
          <w:rFonts w:ascii="Times New Roman" w:hAnsi="Times New Roman"/>
          <w:color w:val="000000"/>
          <w:sz w:val="24"/>
        </w:rPr>
        <w:t>. The Seller will comply with all Applicable Laws to which it may be subject if the failure to comply could reasonably be expected to have a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(g) </w:t>
      </w:r>
      <w:r>
        <w:rPr>
          <w:rFonts w:ascii="Times New Roman" w:hAnsi="Times New Roman"/>
          <w:color w:val="000000"/>
          <w:sz w:val="24"/>
          <w:u w:val="single"/>
        </w:rPr>
        <w:t>Payments on Receivables, Collection Accounts</w:t>
      </w:r>
      <w:r>
        <w:rPr>
          <w:rFonts w:ascii="Times New Roman" w:hAnsi="Times New Roman"/>
          <w:color w:val="000000"/>
          <w:sz w:val="24"/>
        </w:rPr>
        <w:t xml:space="preserve">. The Seller (or the Servicer on its behalf) will, and will cause each Originator to, at all times, instruct all Obligors to deliver payments on the Pool Receivables to a Collection Account. The Seller (or the Servicer on its behalf) will, and will cause each Originator to, at all times, maintain such books and records necessary to identify Collections received from time to time on Pool Receivables and to segregate such Collections from other property of the Servicer and the Originators. If any payments on the Pool Receivables or other Collections are received by the Seller, the Servicer or an Originator, it shall hold such payments in trust for the benefit of (or, to the extent the concept of trust is not recognized in the relevant jurisdiction, on behalf of) the Administrative Agent, the Group Agents and the other Secured Parties and promptly (but in any event within two (2) Business Days after receipt) remit such funds into a Collection Account. The Seller (or the Servicer on its behalf) will cause each Collection Account Bank to comply with the terms of the relevant Collection Account Declaration of Trust and/or the relevant Collections Account Pledge Agreement. The Seller shall not permit funds other than Collections on Pool Receivables and other Sold Assets and Seller Collateral to be deposited into any Collection Account. If such funds are nevertheless deposited into any Collection Account, the Seller (or the Servicer on its behalf) will within two (2) Business Days identify and transfer such funds to the appropriate Person entitled to such funds. The Seller will not, and will not permit the Servicer, any Originator or any other Person to commingle Collections or other funds to which the Administrative Agent, any Group Agent or any other Secured Party is entitled, with any other funds unless agreed by the Administrative Agent in writing. The Seller will not, and will not permit the Servicer, any Originator or any other Person to deposit funds into a Collection Account from a Sanctioned Person. The Seller shall only add a Collection Account or a Collection Account Bank to those listed on </w:t>
      </w:r>
      <w:r>
        <w:rPr>
          <w:rFonts w:ascii="Times New Roman" w:hAnsi="Times New Roman"/>
          <w:color w:val="000000"/>
          <w:sz w:val="24"/>
          <w:u w:val="single"/>
        </w:rPr>
        <w:t xml:space="preserve">Schedule II </w:t>
      </w:r>
      <w:r>
        <w:rPr>
          <w:rFonts w:ascii="Times New Roman" w:hAnsi="Times New Roman"/>
          <w:color w:val="000000"/>
          <w:sz w:val="24"/>
        </w:rPr>
        <w:t>to the Receivables Purchase Agreement, if the Administrative Agent has received notice of such addition and an executed and acknowledged copy of the relevant Collection Account Declaration of Trust and/or the relevant Collection Account Pledge Agreement (or an amendment thereto) in form and substance acceptable to the Administrative Agent from the applicable Collection Account Bank. The Seller shall only terminate a Collection Account Bank or close a Collection Account or Seller Collection Account with the prior written consent of the Administrative Agent. The Servicer shall ensure that no disbursements are made from any Collection Account or Seller Collection Account, other than such disbursements that are required pursuant to the terms of the Transaction. The Seller will not and will not permit any amount to be withdrawn from a Collection Account or a Seller Collection Account that would cause either of them to become overdrawn, without the prior consent of the Purchasers.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(h) </w:t>
      </w:r>
      <w:r>
        <w:rPr>
          <w:rFonts w:ascii="Times New Roman" w:hAnsi="Times New Roman"/>
          <w:color w:val="000000"/>
          <w:sz w:val="24"/>
          <w:u w:val="single"/>
        </w:rPr>
        <w:t>Sales, Liens, etc.</w:t>
      </w:r>
      <w:r>
        <w:rPr>
          <w:rFonts w:ascii="Times New Roman" w:hAnsi="Times New Roman"/>
          <w:color w:val="000000"/>
          <w:sz w:val="24"/>
        </w:rPr>
        <w:t xml:space="preserve"> Except as otherwise provided herein, the Seller will not sell, assign (by operation of law or otherwise) or otherwise dispose of, or create or suffer to exist any Adverse Claim upon (including, without limitation, the filing of any financing statement) or with respect to, any Pool Receivable, Sold Assets or any Seller Collateral, or assign any right to receive income in respect thereof.</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 </w:t>
      </w:r>
      <w:r>
        <w:rPr>
          <w:rFonts w:ascii="Times New Roman" w:hAnsi="Times New Roman"/>
          <w:color w:val="000000"/>
          <w:sz w:val="24"/>
          <w:u w:val="single"/>
        </w:rPr>
        <w:t>Extension or Amendment of Pool Receivables</w:t>
      </w:r>
      <w:r>
        <w:rPr>
          <w:rFonts w:ascii="Times New Roman" w:hAnsi="Times New Roman"/>
          <w:i/>
          <w:color w:val="000000"/>
          <w:sz w:val="24"/>
        </w:rPr>
        <w:t>.</w:t>
      </w:r>
      <w:r>
        <w:rPr>
          <w:rFonts w:ascii="Times New Roman" w:hAnsi="Times New Roman"/>
          <w:color w:val="000000"/>
          <w:sz w:val="24"/>
        </w:rPr>
        <w:t xml:space="preserve"> Except as otherwise permitted in </w:t>
      </w:r>
      <w:r>
        <w:rPr>
          <w:rFonts w:ascii="Times New Roman" w:hAnsi="Times New Roman"/>
          <w:color w:val="000000"/>
          <w:sz w:val="24"/>
          <w:u w:val="single"/>
        </w:rPr>
        <w:t>Section 6.02</w:t>
      </w:r>
      <w:r>
        <w:rPr>
          <w:rFonts w:ascii="Times New Roman" w:hAnsi="Times New Roman"/>
          <w:color w:val="000000"/>
          <w:sz w:val="24"/>
        </w:rPr>
        <w:t xml:space="preserve"> of the Receivables Purchase Agreement, the Seller will not, and will not permit the Servicer to, alter the delinquency status or adjust the Outstanding Balance or otherwise modify the terms of any Pool Receivable in any material respect, or amend, modify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or waive, in any material respect, any term or condition of any related Contract. The Seller shall at its expense, timely and fully perform and comply in all material respects with all provisions, covenants and other promises required to be observed by it under the Contracts related to the Pool Receivables, and timely and fully comply with the Credit and Collection Policy with regard to each Pool Receivable and the related Contract.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(j) </w:t>
      </w:r>
      <w:r>
        <w:rPr>
          <w:rFonts w:ascii="Times New Roman" w:hAnsi="Times New Roman"/>
          <w:color w:val="000000"/>
          <w:sz w:val="24"/>
          <w:u w:val="single"/>
        </w:rPr>
        <w:t>Change in Credit and Collection Policy</w:t>
      </w:r>
      <w:r>
        <w:rPr>
          <w:rFonts w:ascii="Times New Roman" w:hAnsi="Times New Roman"/>
          <w:color w:val="000000"/>
          <w:sz w:val="24"/>
        </w:rPr>
        <w:t>. The Seller will not make any change in the Credit and Collection Policy that could impair the collectability of any Eligible Receivable in any material respect or reasonably be expected to have a Material Adverse Effect without the prior written consent of the Administrative Agent and the Majority Group Agents. At least ten (10) Business Days prior to the date any material change in or amendment to the Credit and Collection Policy is made, the Seller will deliver a copy of the updated Credit and Collection Policy to the Administrative Agent and each Purchaser.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(k) </w:t>
      </w:r>
      <w:r>
        <w:rPr>
          <w:rFonts w:ascii="Times New Roman" w:hAnsi="Times New Roman"/>
          <w:color w:val="000000"/>
          <w:sz w:val="24"/>
          <w:u w:val="single"/>
        </w:rPr>
        <w:t>Fundamental Changes</w:t>
      </w:r>
      <w:r>
        <w:rPr>
          <w:rFonts w:ascii="Times New Roman" w:hAnsi="Times New Roman"/>
          <w:color w:val="000000"/>
          <w:sz w:val="24"/>
        </w:rPr>
        <w:t>. The Seller shall not, without the prior written consent of the Administrative Agent and the Majority Group Agents, permit itself (i) to merge or consolidate with or into, or convey, transfer, lease or otherwise dispose of (whether in one transaction or in a series of transactions) all or substantially all of its assets (whether now owned or hereafter acquired) to, any Person or (ii) undertake any division of its rights, assets, obligations, or liabilities pursuant to a plan of division or otherwise pursuant to Applicable Law or (iii) to be directly owned by any Person other than an Originator. The Seller shall not, without the prior written consent of the Administrative Agent and the Majority Group Agents, make any change in the Seller’s name, identity, corporate structure or location or make any other change in the Seller’s identity or corporate structure.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(l) </w:t>
      </w:r>
      <w:r>
        <w:rPr>
          <w:rFonts w:ascii="Times New Roman" w:hAnsi="Times New Roman"/>
          <w:color w:val="000000"/>
          <w:sz w:val="24"/>
          <w:u w:val="single"/>
        </w:rPr>
        <w:t>Books and Records</w:t>
      </w:r>
      <w:r>
        <w:rPr>
          <w:rFonts w:ascii="Times New Roman" w:hAnsi="Times New Roman"/>
          <w:color w:val="000000"/>
          <w:sz w:val="24"/>
        </w:rPr>
        <w:t>. The Seller shall maintain and implement (or cause the Servicer to maintain and implement) administrative and operating procedures (including an ability to recreate records evidencing Pool Receivables and related Contracts in the event of the destruction of the originals thereof), and keep and maintain (or cause the Servicer to keep and maintain) all documents, books, records, computer tapes and disks and other information reasonably necessary or advisable for the collection of all Pool Receivables (including records adequate to permit the daily identification of each Pool Receivable and all Collections of and adjustments to each existing Pool Receivable).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(m) </w:t>
      </w:r>
      <w:r>
        <w:rPr>
          <w:rFonts w:ascii="Times New Roman" w:hAnsi="Times New Roman"/>
          <w:color w:val="000000"/>
          <w:sz w:val="24"/>
          <w:u w:val="single"/>
        </w:rPr>
        <w:t>Identifying of Records</w:t>
      </w:r>
      <w:r>
        <w:rPr>
          <w:rFonts w:ascii="Times New Roman" w:hAnsi="Times New Roman"/>
          <w:color w:val="000000"/>
          <w:sz w:val="24"/>
        </w:rPr>
        <w:t>. The Seller shall: (i) identify (or cause the Servicer to identify) its master data processing records relating to Pool Receivables and related Contracts with a legend that indicates that the Pool Receivables have been pledged in accordance with the Receivables Purchase Agreement and (ii) cause each Originator so to identify its master data processing records with such a legend.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(n) </w:t>
      </w:r>
      <w:r>
        <w:rPr>
          <w:rFonts w:ascii="Times New Roman" w:hAnsi="Times New Roman"/>
          <w:color w:val="000000"/>
          <w:sz w:val="24"/>
          <w:u w:val="single"/>
        </w:rPr>
        <w:t>Change in Payment Instructions to Obligors</w:t>
      </w:r>
      <w:r>
        <w:rPr>
          <w:rFonts w:ascii="Times New Roman" w:hAnsi="Times New Roman"/>
          <w:color w:val="000000"/>
          <w:sz w:val="24"/>
        </w:rPr>
        <w:t>. The Seller shall not (and shall not permit any Originator, the Servicer or any Sub-Servicer to) add, replace or terminate any Collection Account or make any change in its (or their) instructions to the Obligors regarding payments to be made to the Collection Accounts, other than any instruction to remit payments to a different Collection Account, unless the Administrative Agent shall have received (i) prior written notice of such addition, termination or change and (ii) the relevant Collection Account Declaration of Trust and/or the relevant Collection Account Pledge Agreement (or amendment thereto) with respect to such new Collection Accounts, and the Administrative Agent shall have consented to such change in writing.</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(o) </w:t>
      </w:r>
      <w:r>
        <w:rPr>
          <w:rFonts w:ascii="Times New Roman" w:hAnsi="Times New Roman"/>
          <w:color w:val="000000"/>
          <w:sz w:val="24"/>
          <w:u w:val="single"/>
        </w:rPr>
        <w:t>Security Interest, Etc.</w:t>
      </w:r>
      <w:r>
        <w:rPr>
          <w:rFonts w:ascii="Times New Roman" w:hAnsi="Times New Roman"/>
          <w:color w:val="000000"/>
          <w:sz w:val="24"/>
        </w:rPr>
        <w:t xml:space="preserve"> The Seller shall (and shall cause the Servicer to), at its expense, take all action necessary or reasonably desirable to establish and maintain a valid and enforceable ownership or security interest in the Sold Assets and Seller Collateral, and a first priority security interest in the Sold Assets and Seller Collateral, in each case free and clear of any Adverse Claim, in favour of the Administrative Agent (on behalf of the Secured Parties), including taking such action to perfect, protect or more fully evidence the security interest of the Administrative Agent (on behalf of the Secured Parties) as the Administrative Agent or any Secured Party may reasonably request</w:t>
      </w:r>
      <w:r>
        <w:rPr>
          <w:rFonts w:ascii="Times New Roman" w:hAnsi="Times New Roman"/>
          <w:color w:val="414042"/>
          <w:sz w:val="24"/>
        </w:rPr>
        <w:t xml:space="preserve">. </w:t>
      </w:r>
      <w:r>
        <w:rPr>
          <w:rFonts w:ascii="Times New Roman" w:hAnsi="Times New Roman"/>
          <w:color w:val="000000"/>
          <w:sz w:val="24"/>
        </w:rPr>
        <w:t>In order to evidence the security interests of the Administrative Agent under the UK Security Agreement, the Seller shall, from time to time take such action, or execute and deliver such instruments as may be necessary (including, without limitation, such actions as are reasonably requested by the Administrative Agent) to maintain and perfect, as a first-priority interest, the Administrative Agent’s security interest in the Receivables, Related Security and Collections. The Seller shall, from time to time and within the time limits established by law, prepare and present to the Administrative Agent for the Administrative Agent’s authorization and approval, all financing statements, amendments, continuations or initial financing statements in lieu of a continuation statement, or other filings necessary to continue, maintain and perfect the Administrative Agent’s security interest as a first-priority interest.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(p) </w:t>
      </w:r>
      <w:r>
        <w:rPr>
          <w:rFonts w:ascii="Times New Roman" w:hAnsi="Times New Roman"/>
          <w:color w:val="000000"/>
          <w:sz w:val="24"/>
          <w:u w:val="single"/>
        </w:rPr>
        <w:t>Certain Agreements</w:t>
      </w:r>
      <w:r>
        <w:rPr>
          <w:rFonts w:ascii="Times New Roman" w:hAnsi="Times New Roman"/>
          <w:color w:val="000000"/>
          <w:sz w:val="24"/>
        </w:rPr>
        <w:t>. Without the prior written consent of the Administrative Agent and the Majority Group Agents, the Seller will not (and will not permit any Originator or the Servicer to) amend, modify, waive, revoke or terminate any Transaction Document to which it is a party or any provision of the Seller’s organizational documents.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(q) </w:t>
      </w:r>
      <w:r>
        <w:rPr>
          <w:rFonts w:ascii="Times New Roman" w:hAnsi="Times New Roman"/>
          <w:color w:val="000000"/>
          <w:sz w:val="24"/>
          <w:u w:val="single"/>
        </w:rPr>
        <w:t>Restricted Payments</w:t>
      </w:r>
      <w:r>
        <w:rPr>
          <w:rFonts w:ascii="Times New Roman" w:hAnsi="Times New Roman"/>
          <w:color w:val="000000"/>
          <w:sz w:val="24"/>
        </w:rPr>
        <w:t xml:space="preserve">. (i) the Seller will not: (A) purchase or redeem any of its membership interests or shares, as applicable, (B) declare or pay any dividend or set aside any funds for any such purpose, (C) prepay, purchase or redeem any Debt, (D) lend or advance any funds or (E) repay any loans or advances to, for or from any of its Affiliates (the amounts described in </w:t>
      </w:r>
      <w:r>
        <w:rPr>
          <w:rFonts w:ascii="Times New Roman" w:hAnsi="Times New Roman"/>
          <w:color w:val="000000"/>
          <w:sz w:val="24"/>
          <w:u w:val="single"/>
        </w:rPr>
        <w:t>clauses (A)</w:t>
      </w:r>
      <w:r>
        <w:rPr>
          <w:rFonts w:ascii="Times New Roman" w:hAnsi="Times New Roman"/>
          <w:color w:val="000000"/>
          <w:sz w:val="24"/>
        </w:rPr>
        <w:t xml:space="preserve"> through </w:t>
      </w:r>
      <w:r>
        <w:rPr>
          <w:rFonts w:ascii="Times New Roman" w:hAnsi="Times New Roman"/>
          <w:color w:val="000000"/>
          <w:sz w:val="24"/>
          <w:u w:val="single"/>
        </w:rPr>
        <w:t>(E)</w:t>
      </w:r>
      <w:r>
        <w:rPr>
          <w:rFonts w:ascii="Times New Roman" w:hAnsi="Times New Roman"/>
          <w:color w:val="000000"/>
          <w:sz w:val="24"/>
        </w:rPr>
        <w:t xml:space="preserve"> being referred to as “</w:t>
      </w:r>
      <w:r>
        <w:rPr>
          <w:rFonts w:ascii="Times New Roman" w:hAnsi="Times New Roman"/>
          <w:color w:val="000000"/>
          <w:sz w:val="24"/>
          <w:u w:val="single"/>
        </w:rPr>
        <w:t>Restricted Payments</w:t>
      </w:r>
      <w:r>
        <w:rPr>
          <w:rFonts w:ascii="Times New Roman" w:hAnsi="Times New Roman"/>
          <w:color w:val="000000"/>
          <w:sz w:val="24"/>
        </w:rPr>
        <w: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(ii) The Seller may make Restricted Payments only out of the funds, if any, it receives pursuant to </w:t>
      </w:r>
      <w:r>
        <w:rPr>
          <w:rFonts w:ascii="Times New Roman" w:hAnsi="Times New Roman"/>
          <w:color w:val="000000"/>
          <w:sz w:val="24"/>
          <w:u w:val="single"/>
        </w:rPr>
        <w:t>Section 3.01</w:t>
      </w:r>
      <w:r>
        <w:rPr>
          <w:rFonts w:ascii="Times New Roman" w:hAnsi="Times New Roman"/>
          <w:color w:val="000000"/>
          <w:sz w:val="24"/>
        </w:rPr>
        <w:t xml:space="preserve"> of the Receivables Purchase Agreement; </w:t>
      </w:r>
      <w:r>
        <w:rPr>
          <w:rFonts w:ascii="Times New Roman" w:hAnsi="Times New Roman"/>
          <w:color w:val="000000"/>
          <w:sz w:val="24"/>
          <w:u w:val="single"/>
        </w:rPr>
        <w:t>provided</w:t>
      </w:r>
      <w:r>
        <w:rPr>
          <w:rFonts w:ascii="Times New Roman" w:hAnsi="Times New Roman"/>
          <w:color w:val="000000"/>
          <w:sz w:val="24"/>
        </w:rPr>
        <w:t xml:space="preserve"> that the Seller shall not pay, make or declare any Restricted Payment (including any dividend) if, after giving effect thereto, any Event of Termination or Unmatured Event of Termination shall have occurred and be continuing.</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(r) </w:t>
      </w:r>
      <w:r>
        <w:rPr>
          <w:rFonts w:ascii="Times New Roman" w:hAnsi="Times New Roman"/>
          <w:color w:val="000000"/>
          <w:sz w:val="24"/>
          <w:u w:val="single"/>
        </w:rPr>
        <w:t>Other Business</w:t>
      </w:r>
      <w:r>
        <w:rPr>
          <w:rFonts w:ascii="Times New Roman" w:hAnsi="Times New Roman"/>
          <w:color w:val="000000"/>
          <w:sz w:val="24"/>
        </w:rPr>
        <w:t>. The Seller will not: (i) engage in any business other than the transactions contemplated by the Transaction Documents, (ii) create, incur or permit to exist any Debt of any kind (or cause or permit to be issued for its account any letters of credit or bankers’ acceptances other than pursuant to the Receivables Purchase Agreement or (iii) form any Subsidiary or make any investments in any other Person.</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 </w:t>
      </w:r>
      <w:r>
        <w:rPr>
          <w:rFonts w:ascii="Times New Roman" w:hAnsi="Times New Roman"/>
          <w:color w:val="000000"/>
          <w:sz w:val="24"/>
          <w:u w:val="single"/>
        </w:rPr>
        <w:t>Use of Collections Available to the Seller</w:t>
      </w:r>
      <w:r>
        <w:rPr>
          <w:rFonts w:ascii="Times New Roman" w:hAnsi="Times New Roman"/>
          <w:color w:val="000000"/>
          <w:sz w:val="24"/>
        </w:rPr>
        <w:t>. The Seller shall apply the Collections available to the Seller to make payments in accordance with Section 3.01(a) of the Receivables Purchase Agreement or as otherwise permitted under the terms of the Transaction Documents.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(t) </w:t>
      </w:r>
      <w:r>
        <w:rPr>
          <w:rFonts w:ascii="Times New Roman" w:hAnsi="Times New Roman"/>
          <w:color w:val="000000"/>
          <w:sz w:val="24"/>
          <w:u w:val="single"/>
        </w:rPr>
        <w:t>Further Assurances.</w:t>
      </w:r>
      <w:r>
        <w:rPr>
          <w:rFonts w:ascii="Times New Roman" w:hAnsi="Times New Roman"/>
          <w:color w:val="000000"/>
          <w:sz w:val="24"/>
        </w:rPr>
        <w:t xml:space="preserve"> (i) The Seller hereby authorizes and hereby agrees from time to time, at its own expense, promptly to execute (if necessary) and deliver all further instruments and documents, and to take all further actions, that may be necessary or desirable, or that the Administrative Agent may reasonably request, to (A) validly sell and assign the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Receivables purported to be sold and assigned pursuant to the Receivables Purchase Agreement to the Administrative Agent (for the benefit of the Secured Parties) and (B) perfect, protect or more fully evidence the security interest granted pursuant to the Receivables Purchase Agreement or any other Transaction Document, or to enable the Administrative Agent (on behalf of the Secured Parties) to exercise and enforce the Secured Parties’ rights and remedies under the Receivables Purchase Agreement and the other Transaction Document. Without limiting the foregoing, the Seller hereby authorizes, and will, upon the request of the Administrative Agent, at the Seller’s own expense, execute (if necessary) and file such financing statements or continuation statements, or amendments thereto, and such other instruments and documents, that may be necessary or desirable, or that the Administrative Agent may reasonably request, to perfect, protect or evidence any of the foregoing.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The Seller authorizes the Administrative Agent to make registrations, file financing statements, continuation statements and amendments thereto and assignments thereof, relating to the Receivables, the Related Security, the related Contracts, Collections with respect thereto and the other Sold Assets and Seller Collateral without the signature of the Seller. A photocopy or other reproduction of the Receivables Purchase Agreement shall be sufficient as a financing statement where permitted by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The Seller shall at all times be organized under the laws of Ireland and shall not take any action to change its jurisdiction of organization.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 The Seller will not change its name, location, identity or corporate structure unless (x) the Seller, at its own expense, shall have taken all action necessary or appropriate to perfect or maintain the perfection of the security interest under the UK Security Agreement.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(u) </w:t>
      </w:r>
      <w:r>
        <w:rPr>
          <w:rFonts w:ascii="Times New Roman" w:hAnsi="Times New Roman"/>
          <w:color w:val="000000"/>
          <w:sz w:val="24"/>
          <w:u w:val="single"/>
        </w:rPr>
        <w:t>Anti-Money Laundering/International Trade Law Compliance</w:t>
      </w:r>
      <w:r>
        <w:rPr>
          <w:rFonts w:ascii="Times New Roman" w:hAnsi="Times New Roman"/>
          <w:color w:val="000000"/>
          <w:sz w:val="24"/>
        </w:rPr>
        <w:t>. The Seller will not become a Sanctioned Person. No Covered Entity, either in its own right or through any third party, will (a) have any of its assets in a Sanctioned Jurisdiction or in the possession, custody or control of a Sanctioned Person in violation of any Anti-Terrorism Law;(b) do business in or with, or derive any of its income from investments in or transactions with, any Sanctioned Jurisdiction or Sanctioned Person in violation of any Anti-Terrorism Law; (c) engage in any dealings or transactions prohibited by any Anti-Terrorism Law or (d) use the proceeds of any Investment to fund any operations in, finance any investments or activities in, or, make any payments to, a Sanctioned Jurisdiction or Sanctioned Person in violation of any Anti-Terrorism Law. The funds used to repay each Investment will not be derived from any unlawful activity. The Seller shall comply with all Anti-Terrorism Laws. The Seller shall promptly notify the Administrative Agent and each Purchaser in writing upon the occurrence of a Reportable Compliance Event. The Seller has not used and will not use the proceeds of any Investment to fund any operations in, finance any investments or activities in or make any payments to, a Sanctioned Person or a Sanctioned Jurisdiction.</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(v) </w:t>
      </w:r>
      <w:r>
        <w:rPr>
          <w:rFonts w:ascii="Times New Roman" w:hAnsi="Times New Roman"/>
          <w:color w:val="000000"/>
          <w:sz w:val="24"/>
          <w:u w:val="single"/>
        </w:rPr>
        <w:t>Transaction Information</w:t>
      </w:r>
      <w:r>
        <w:rPr>
          <w:rFonts w:ascii="Times New Roman" w:hAnsi="Times New Roman"/>
          <w:color w:val="000000"/>
          <w:sz w:val="24"/>
        </w:rPr>
        <w:t xml:space="preserve">. Except as may be required by Applicable Law, none of the Seller, any Affiliate of the Seller or any third party with which the Seller or any Affiliate thereof has contracted, shall deliver, in writing or orally, to any Rating Agency, any Transaction Information without providing such Transaction Information to the applicable Group Agent prior to delivery to such Rating Agency and will not participate in any oral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communications with respect to Transaction Information with any Rating Agency without the participation of such Group Agent.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(w) </w:t>
      </w:r>
      <w:r>
        <w:rPr>
          <w:rFonts w:ascii="Times New Roman" w:hAnsi="Times New Roman"/>
          <w:color w:val="000000"/>
          <w:sz w:val="24"/>
          <w:u w:val="single"/>
        </w:rPr>
        <w:t>Taxes</w:t>
      </w:r>
      <w:r>
        <w:rPr>
          <w:rFonts w:ascii="Times New Roman" w:hAnsi="Times New Roman"/>
          <w:color w:val="000000"/>
          <w:sz w:val="24"/>
        </w:rPr>
        <w:t>. The Seller will (i) timely file all Tax returns required to be filed by it and (ii) pay, or cause to be paid, all Taxes, assessments and other governmental charges, if any, other than Taxes, assessments and other governmental charges being contested in good faith by appropriate proceedings and as to which adequate reserves have been provided in accordance with GAAP.</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(x) </w:t>
      </w:r>
      <w:r>
        <w:rPr>
          <w:rFonts w:ascii="Times New Roman" w:hAnsi="Times New Roman"/>
          <w:color w:val="000000"/>
          <w:sz w:val="24"/>
          <w:u w:val="single"/>
        </w:rPr>
        <w:t>Seller’s Tax Status</w:t>
      </w:r>
      <w:r>
        <w:rPr>
          <w:rFonts w:ascii="Times New Roman" w:hAnsi="Times New Roman"/>
          <w:color w:val="000000"/>
          <w:sz w:val="24"/>
        </w:rPr>
        <w:t>. The Seller shall remain a designated activity company limited by shares incorporated under the Companies Act 2014 of Ireland and a "qualifying company" for the purposes of Section 110 of the TCA which is resident for Tax purposes solely in Ireland without a permanent establishment or other taxable presence outside Ireland and shall not register to become a member of a VAT group.</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The Seller will conduct its board-level affairs in accordance with its constitutive documentation from within its jurisdiction of incorporation.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All of the directors of the Seller except for Kevin Higgins are and shall remain resident for the purposes of taxation, in the jurisdiction of incorporation of the Seller.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All of the directors of the Seller shall exercise their control over the business of the Seller independently taking all key decisions relating to the Seller at meetings held in Ireland and the Seller shall not grant to any person other than the directors any ability to participate in its financial and operating policy decisions.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 The Seller will not do or permit any act or omission whereby it becomes liable to tax by virtue of domicile, residence, place of management or any other criterion of a similar nature anywhere in the world, other than in the jurisdiction of its incorporation.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 The Seller will maintain its central management and control and its place of effective management only in Ireland and in particular will ensure that it will not be treated under any of the double taxation treaties entered into by Ireland as being resident for tax purposes in any jurisdiction other than Ireland nor will it have a permanent establishment or a branch or agency or otherwise become subject to net income or similar tax in any jurisdiction other than Ireland under the laws or guidelines or any jurisdiction (other than Ireland).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 The Seller shall at all times use all reasonable efforts to minimise any applicable taxes.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(vii) The Seller shall not take any action or permit any action to be taken which would cause it to cease to be a “qualifying company” as defined in section 110(1) of the TCA.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(viii) The Seller shall ensure that the first assets to be acquired, held or managed by the Seller, or in respect of which legally enforceable arrangements are to be entered into by the Seller with another person which arrangements themselves constitute "qualifying assets" within the meaning of Section 110(1) of the TCA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w:t>
      </w:r>
      <w:r>
        <w:rPr>
          <w:rFonts w:ascii="Times New Roman" w:hAnsi="Times New Roman"/>
          <w:color w:val="000000"/>
          <w:sz w:val="24"/>
          <w:u w:val="single"/>
        </w:rPr>
        <w:t>Qualifying Assets</w:t>
      </w:r>
      <w:r>
        <w:rPr>
          <w:rFonts w:ascii="Times New Roman" w:hAnsi="Times New Roman"/>
          <w:color w:val="000000"/>
          <w:sz w:val="24"/>
        </w:rPr>
        <w:t>"), are Qualifying Assets and that they will have a market value of not less than EUR10,000,000 on the day that they are first acquired, first held, or such legally enforceable arrangement is first entered into, by the Seller and the Seller shall</w:t>
      </w:r>
    </w:p>
    <w:p>
      <w:pPr>
        <w:pStyle w:val="TextBody"/>
        <w:bidi w:val="0"/>
        <w:spacing w:before="66" w:after="283"/>
        <w:jc w:val="left"/>
        <w:rPr>
          <w:rFonts w:ascii="Times New Roman" w:hAnsi="Times New Roman"/>
          <w:color w:val="000000"/>
          <w:sz w:val="24"/>
        </w:rPr>
      </w:pPr>
      <w:r>
        <w:rPr>
          <w:rFonts w:ascii="Times New Roman" w:hAnsi="Times New Roman"/>
          <w:color w:val="000000"/>
          <w:sz w:val="24"/>
        </w:rPr>
        <w:t>ensure that it will not transact any business prior to the acquisition, holding, managing or entering into of such assets (as the case may be);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(ix) The Seller does not and will not carry out any other business apart from the holding, managing or both the holding and managing, in each case in Ireland, of Qualifying Assets (including, in the case of plant and machinery acquired by the Seller, a business of leasing that plant and machinery) and activities which are ancillary thereto.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 The Seller has not entered and will not enter into any arrangement to transfer a financial instrument where the purpose of that transfer is to secure relief in respect of an amount of tax withheld at source from more than one person.</w:t>
      </w:r>
    </w:p>
    <w:p>
      <w:pPr>
        <w:pStyle w:val="TextBody"/>
        <w:bidi w:val="0"/>
        <w:jc w:val="both"/>
        <w:rPr>
          <w:rFonts w:ascii="Times New Roman" w:hAnsi="Times New Roman"/>
          <w:color w:val="000000"/>
          <w:sz w:val="24"/>
        </w:rPr>
      </w:pPr>
      <w:r>
        <w:rPr>
          <w:rFonts w:ascii="Times New Roman" w:hAnsi="Times New Roman"/>
          <w:color w:val="000000"/>
          <w:sz w:val="24"/>
        </w:rPr>
        <w:t>(xi) The Seller will not enter into any arrangement with respect to which it could reasonably be expected to be aware that it shared in the value of a tax benefit resulting from any hybrid mismatch (as defined in section 835Z of the TCA).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(xii) The Seller will not enter into a transaction or series of transactions involving a mismatch outcome (within the meaning of Part 35C of the TCA) where a payment by it directly or indirectly funds that mismatch outcome.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(xiii) The Seller will enter into all transactions carried on by or with it, other than those transactions to which Section 110(4) of the TCA applies and which are not excluded from that provision by virtue of subsections (4A), (5) and (5A) of the TCA, on arm's length terms and in compliance with Part 35A of the TCA and where a number of services are provided to the Seller by the same service provider (or by a service provider and persons connected with the service provider) the fees paid by the Seller will be attributed between those services in a reasonable manner, having regard to the respective value and nature of the services.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(xiv) The Seller has not and will not make an election within the meaning of Section 110(6) of the TCA if to do so would adversely affect its cashflows.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(xv) The Seller shall conduct its affairs in accordance with its constitution from within Ireland, and shall ensure that a majority of the directors of the Seller are and shall remain Irish tax resident, that all the directors of the Seller shall exercise their control over the business of the Seller independently and all meetings of the directors shall be held in Ireland and that all directors of the Seller (acting independently) shall exercise their authority only from and within Ireland by taking all key decisions relating to the Seller in Ireland.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(xvi) The Seller has notified (or will notify within the applicable time limit) the Revenue Commissioners of Ireland of its intention to qualify under Section 110 of the TCA in the prescribed manner.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(y) </w:t>
      </w:r>
      <w:r>
        <w:rPr>
          <w:rFonts w:ascii="Times New Roman" w:hAnsi="Times New Roman"/>
          <w:color w:val="000000"/>
          <w:sz w:val="24"/>
          <w:u w:val="single"/>
        </w:rPr>
        <w:t>Liquidity Coverage Ratio</w:t>
      </w:r>
      <w:r>
        <w:rPr>
          <w:rFonts w:ascii="Times New Roman" w:hAnsi="Times New Roman"/>
          <w:color w:val="000000"/>
          <w:sz w:val="24"/>
        </w:rPr>
        <w:t>. The Seller shall not issue any LCR Security.</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(z) </w:t>
      </w:r>
      <w:r>
        <w:rPr>
          <w:rFonts w:ascii="Times New Roman" w:hAnsi="Times New Roman"/>
          <w:color w:val="000000"/>
          <w:sz w:val="24"/>
          <w:u w:val="single"/>
        </w:rPr>
        <w:t>Certificate of Beneficial Ownership and Other Additional Information</w:t>
      </w:r>
      <w:r>
        <w:rPr>
          <w:rFonts w:ascii="Times New Roman" w:hAnsi="Times New Roman"/>
          <w:color w:val="000000"/>
          <w:sz w:val="24"/>
        </w:rPr>
        <w:t>. The Seller shall provide to the Administrative Agent and the Purchasers: (i) confirmation of the accuracy of the information set forth in the most recent Certificate of Beneficial Ownership provided to the Administrative Agent and the Purchasers; (ii) a new Certificate of Beneficial Ownership, in form and substance acceptable to the Administrative Agent and each Purchaser, when the individual(s) to be identified as a Beneficial Owner have changed; and (iii) such other information and documentation as may reasonably be requested by the Administrative Agent or any Purchaser from time to time for purposes of compliance by the Administrative Agent or such Purchaser with applicable Laws (including the USA PATRIOT Act and other “know your customer” and anti-money laundering rules and regulations), and any policy or procedure implemented by the Administrative Agent or such Purchaser to comply therewith.</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(aa) </w:t>
      </w:r>
      <w:r>
        <w:rPr>
          <w:rFonts w:ascii="Times New Roman" w:hAnsi="Times New Roman"/>
          <w:color w:val="000000"/>
          <w:sz w:val="24"/>
          <w:u w:val="single"/>
        </w:rPr>
        <w:t>Target balancing arrangements.</w:t>
      </w:r>
      <w:r>
        <w:rPr>
          <w:rFonts w:ascii="Times New Roman" w:hAnsi="Times New Roman"/>
          <w:color w:val="000000"/>
          <w:sz w:val="24"/>
        </w:rPr>
        <w:t xml:space="preserve"> The Seller shall not enter into or agree to any target balancing arrangements (or similar arrangements) in respect of the Seller Collection Accounts.</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(bb) </w:t>
      </w:r>
      <w:r>
        <w:rPr>
          <w:rFonts w:ascii="Times New Roman" w:hAnsi="Times New Roman"/>
          <w:color w:val="000000"/>
          <w:sz w:val="24"/>
          <w:u w:val="single"/>
        </w:rPr>
        <w:t>Derivative Contracts.</w:t>
      </w:r>
      <w:r>
        <w:rPr>
          <w:rFonts w:ascii="Times New Roman" w:hAnsi="Times New Roman"/>
          <w:color w:val="000000"/>
          <w:sz w:val="24"/>
        </w:rPr>
        <w:t xml:space="preserve"> The Seller shall not enter into any derivative</w:t>
      </w:r>
    </w:p>
    <w:p>
      <w:pPr>
        <w:pStyle w:val="TextBody"/>
        <w:bidi w:val="0"/>
        <w:jc w:val="left"/>
        <w:rPr>
          <w:rFonts w:ascii="Times New Roman" w:hAnsi="Times New Roman"/>
          <w:color w:val="000000"/>
          <w:sz w:val="24"/>
        </w:rPr>
      </w:pPr>
      <w:r>
        <w:rPr>
          <w:rFonts w:ascii="Times New Roman" w:hAnsi="Times New Roman"/>
          <w:color w:val="000000"/>
          <w:sz w:val="24"/>
        </w:rPr>
        <w:t>contracts.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center"/>
        <w:rPr>
          <w:rFonts w:ascii="Times New Roman" w:hAnsi="Times New Roman"/>
          <w:color w:val="000000"/>
          <w:sz w:val="24"/>
        </w:rPr>
      </w:pPr>
      <w:r>
        <w:rPr>
          <w:rFonts w:ascii="Times New Roman" w:hAnsi="Times New Roman"/>
          <w:color w:val="000000"/>
          <w:sz w:val="24"/>
        </w:rPr>
        <w:t>Part 2</w:t>
      </w:r>
    </w:p>
    <w:p>
      <w:pPr>
        <w:pStyle w:val="TextBody"/>
        <w:bidi w:val="0"/>
        <w:jc w:val="center"/>
        <w:rPr>
          <w:rFonts w:ascii="Times New Roman" w:hAnsi="Times New Roman"/>
          <w:sz w:val="24"/>
        </w:rPr>
      </w:pPr>
      <w:r>
        <w:rPr>
          <w:rFonts w:ascii="Times New Roman" w:hAnsi="Times New Roman"/>
          <w:b/>
          <w:color w:val="000000"/>
          <w:sz w:val="24"/>
        </w:rPr>
        <w:t>Covenants</w:t>
      </w:r>
      <w:r>
        <w:rPr>
          <w:rFonts w:ascii="Times New Roman" w:hAnsi="Times New Roman"/>
          <w:color w:val="000000"/>
          <w:sz w:val="24"/>
        </w:rPr>
        <w:t xml:space="preserve"> </w:t>
      </w:r>
      <w:r>
        <w:rPr>
          <w:rFonts w:ascii="Times New Roman" w:hAnsi="Times New Roman"/>
          <w:b/>
          <w:color w:val="000000"/>
          <w:sz w:val="24"/>
        </w:rPr>
        <w:t>of</w:t>
      </w:r>
      <w:r>
        <w:rPr>
          <w:rFonts w:ascii="Times New Roman" w:hAnsi="Times New Roman"/>
          <w:color w:val="000000"/>
          <w:sz w:val="24"/>
        </w:rPr>
        <w:t xml:space="preserve"> </w:t>
      </w:r>
      <w:r>
        <w:rPr>
          <w:rFonts w:ascii="Times New Roman" w:hAnsi="Times New Roman"/>
          <w:b/>
          <w:color w:val="000000"/>
          <w:sz w:val="24"/>
        </w:rPr>
        <w:t>the</w:t>
      </w:r>
      <w:r>
        <w:rPr>
          <w:rFonts w:ascii="Times New Roman" w:hAnsi="Times New Roman"/>
          <w:color w:val="000000"/>
          <w:sz w:val="24"/>
        </w:rPr>
        <w:t xml:space="preserve"> </w:t>
      </w:r>
      <w:r>
        <w:rPr>
          <w:rFonts w:ascii="Times New Roman" w:hAnsi="Times New Roman"/>
          <w:b/>
          <w:color w:val="000000"/>
          <w:sz w:val="24"/>
        </w:rPr>
        <w:t>Servicer</w:t>
      </w:r>
      <w:r>
        <w:rPr>
          <w:rFonts w:ascii="Times New Roman" w:hAnsi="Times New Roman"/>
          <w:color w:val="000000"/>
          <w:sz w:val="24"/>
        </w:rPr>
        <w:t xml:space="preserve"> </w:t>
      </w:r>
      <w:r>
        <w:rPr>
          <w:rFonts w:ascii="Times New Roman" w:hAnsi="Times New Roman"/>
          <w:b/>
          <w:color w:val="000000"/>
          <w:sz w:val="24"/>
        </w:rPr>
        <w:t>and</w:t>
      </w:r>
      <w:r>
        <w:rPr>
          <w:rFonts w:ascii="Times New Roman" w:hAnsi="Times New Roman"/>
          <w:color w:val="000000"/>
          <w:sz w:val="24"/>
        </w:rPr>
        <w:t xml:space="preserve"> </w:t>
      </w:r>
      <w:r>
        <w:rPr>
          <w:rFonts w:ascii="Times New Roman" w:hAnsi="Times New Roman"/>
          <w:b/>
          <w:color w:val="000000"/>
          <w:sz w:val="24"/>
        </w:rPr>
        <w:t>the</w:t>
      </w:r>
      <w:r>
        <w:rPr>
          <w:rFonts w:ascii="Times New Roman" w:hAnsi="Times New Roman"/>
          <w:color w:val="000000"/>
          <w:sz w:val="24"/>
        </w:rPr>
        <w:t xml:space="preserve"> </w:t>
      </w:r>
      <w:r>
        <w:rPr>
          <w:rFonts w:ascii="Times New Roman" w:hAnsi="Times New Roman"/>
          <w:b/>
          <w:color w:val="000000"/>
          <w:sz w:val="24"/>
        </w:rPr>
        <w:t>Ashland</w:t>
      </w:r>
      <w:r>
        <w:rPr>
          <w:rFonts w:ascii="Times New Roman" w:hAnsi="Times New Roman"/>
          <w:color w:val="000000"/>
          <w:sz w:val="24"/>
        </w:rPr>
        <w:t xml:space="preserve"> </w:t>
      </w:r>
      <w:r>
        <w:rPr>
          <w:rFonts w:ascii="Times New Roman" w:hAnsi="Times New Roman"/>
          <w:b/>
          <w:color w:val="000000"/>
          <w:sz w:val="24"/>
        </w:rPr>
        <w:t>Sub-Servicers</w:t>
      </w:r>
    </w:p>
    <w:p>
      <w:pPr>
        <w:pStyle w:val="TextBody"/>
        <w:bidi w:val="0"/>
        <w:spacing w:before="240" w:after="283"/>
        <w:jc w:val="left"/>
        <w:rPr>
          <w:rFonts w:ascii="Times New Roman" w:hAnsi="Times New Roman"/>
          <w:sz w:val="24"/>
        </w:rPr>
      </w:pPr>
      <w:r>
        <w:rPr>
          <w:rFonts w:ascii="Times New Roman" w:hAnsi="Times New Roman"/>
          <w:color w:val="000000"/>
          <w:sz w:val="24"/>
          <w:u w:val="single"/>
        </w:rPr>
        <w:t>Covenants of the Servicer</w:t>
      </w:r>
      <w:r>
        <w:rPr>
          <w:rFonts w:ascii="Times New Roman" w:hAnsi="Times New Roman"/>
          <w:color w:val="000000"/>
          <w:sz w:val="24"/>
        </w:rPr>
        <w:t>. At all times from the Closing Date until the Final Payout Date: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 xml:space="preserve">Existence. </w:t>
      </w:r>
      <w:r>
        <w:rPr>
          <w:rFonts w:ascii="Times New Roman" w:hAnsi="Times New Roman"/>
          <w:color w:val="000000"/>
          <w:sz w:val="24"/>
        </w:rPr>
        <w:t>The Servicer and each Ashland Sub-Servicer shall keep in full force and effect its existence and rights as a corporation or other entity under the laws of its jurisdiction of formation. The Servicer and each Ashland Sub-Servicer shall obtain and preserve its qualification to do business in each jurisdiction in which the conduct of its business or the servicing of the Pool Receivables as required by the Receivables Purchase Agreement requires such qualification, except where the failure to do so could not reasonably be expected to have a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Financial Reporting</w:t>
      </w:r>
      <w:r>
        <w:rPr>
          <w:rFonts w:ascii="Times New Roman" w:hAnsi="Times New Roman"/>
          <w:color w:val="000000"/>
          <w:sz w:val="24"/>
        </w:rPr>
        <w:t>. The Servicer and each Ashland Sub-Servicer will maintain a system of accounting established and administered in accordance with GAAP, and the Servicer shall furnish to the Administrative Agent and each Group Agent: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 </w:t>
      </w:r>
      <w:r>
        <w:rPr>
          <w:rFonts w:ascii="Times New Roman" w:hAnsi="Times New Roman"/>
          <w:color w:val="000000"/>
          <w:sz w:val="24"/>
          <w:u w:val="single"/>
        </w:rPr>
        <w:t>Compliance Certificates</w:t>
      </w:r>
      <w:r>
        <w:rPr>
          <w:rFonts w:ascii="Times New Roman" w:hAnsi="Times New Roman"/>
          <w:color w:val="000000"/>
          <w:sz w:val="24"/>
        </w:rPr>
        <w:t xml:space="preserve">. </w:t>
      </w:r>
      <w:r>
        <w:rPr>
          <w:rFonts w:ascii="Times New Roman" w:hAnsi="Times New Roman"/>
          <w:i/>
          <w:color w:val="000000"/>
          <w:sz w:val="24"/>
        </w:rPr>
        <w:t xml:space="preserve">No later than </w:t>
      </w:r>
      <w:r>
        <w:rPr>
          <w:rFonts w:ascii="Times New Roman" w:hAnsi="Times New Roman"/>
          <w:color w:val="000000"/>
          <w:sz w:val="24"/>
        </w:rPr>
        <w:t xml:space="preserve">five (5) Business Days after the delivery of the financial statements referred to in </w:t>
      </w:r>
      <w:r>
        <w:rPr>
          <w:rFonts w:ascii="Times New Roman" w:hAnsi="Times New Roman"/>
          <w:color w:val="000000"/>
          <w:sz w:val="24"/>
          <w:u w:val="single"/>
        </w:rPr>
        <w:t>Schedule 4 (Covenants) Part</w:t>
      </w:r>
      <w:r>
        <w:rPr>
          <w:rFonts w:ascii="Times New Roman" w:hAnsi="Times New Roman"/>
          <w:color w:val="000000"/>
          <w:sz w:val="24"/>
        </w:rPr>
        <w:t xml:space="preserve"> </w:t>
      </w:r>
      <w:r>
        <w:rPr>
          <w:rFonts w:ascii="Times New Roman" w:hAnsi="Times New Roman"/>
          <w:color w:val="000000"/>
          <w:sz w:val="24"/>
          <w:u w:val="single"/>
        </w:rPr>
        <w:t>1 (Covenants of the Seller) paragraphs (c)(i) and (ii)</w:t>
      </w:r>
      <w:r>
        <w:rPr>
          <w:rFonts w:ascii="Times New Roman" w:hAnsi="Times New Roman"/>
          <w:color w:val="000000"/>
          <w:sz w:val="24"/>
        </w:rPr>
        <w:t xml:space="preserve">, a compliance certificate in form and substance substantially similar to </w:t>
      </w:r>
      <w:r>
        <w:rPr>
          <w:rFonts w:ascii="Times New Roman" w:hAnsi="Times New Roman"/>
          <w:color w:val="000000"/>
          <w:sz w:val="24"/>
          <w:u w:val="single"/>
        </w:rPr>
        <w:t>Exhibit G</w:t>
      </w:r>
      <w:r>
        <w:rPr>
          <w:rFonts w:ascii="Times New Roman" w:hAnsi="Times New Roman"/>
          <w:color w:val="000000"/>
          <w:sz w:val="24"/>
        </w:rPr>
        <w:t xml:space="preserve"> of the Receivables Purchase Agreement signed by a Financial Officer of the Servicer for itself and on behalf of each Ashland Sub-Servicer stating that no Event of Termination or Unmatured Event of Termination has occurred and is continuing, or if any Event of Termination or Unmatured Event of Termination has occurred and is continuing, stating the nature and status thereof.</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(ii) </w:t>
      </w:r>
      <w:r>
        <w:rPr>
          <w:rFonts w:ascii="Times New Roman" w:hAnsi="Times New Roman"/>
          <w:color w:val="000000"/>
          <w:sz w:val="24"/>
          <w:u w:val="single"/>
        </w:rPr>
        <w:t>Information Packages and Weekly Reports</w:t>
      </w:r>
      <w:r>
        <w:rPr>
          <w:rFonts w:ascii="Times New Roman" w:hAnsi="Times New Roman"/>
          <w:color w:val="000000"/>
          <w:sz w:val="24"/>
        </w:rPr>
        <w:t>. By no later than 5:00 p.m. (London time) on each Monthly Reporting Date (and, during the continuation of an Event of Termination or an Unmatured Event of Termination, within three (3) Business Days after a request from the Administrative Agent or any Group Agent), the Servicer (or the Seller on its behalf) shall prepare and forward to the Administrative Agent and each Group Agent an Information Package, certified by the Servicer and each Ashland Sub-Servicer (as applicable). In addition to the foregoing, at such times as (a) the Performance Guarantor’s unsecured debt has a public rating from S&amp;P below “BB-”, (b) the Performance Guarantor’s unsecured debt has a public rating from Moody’s below “Ba3” or (c) the occurrence and during the continuation of an Event of Default in accordance with Section 6.04(a)(vii) of the Receivables Purchase Agreement, the Servicer shall be obligated to prepare and forward to the Administrative Agent and each Group Agent a Weekly Report on every Thursday of each calendar week (or the next Business Day if such day is not a Business Day), certified by the Servicer (or the Seller on its behalf). The reporting period covered by a Weekly Report shall be the period ending on (and including) the Friday preceding the applicable reporting date and beginning on (and including) the Saturday preceding such Friday.</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(iii) </w:t>
      </w:r>
      <w:r>
        <w:rPr>
          <w:rFonts w:ascii="Times New Roman" w:hAnsi="Times New Roman"/>
          <w:color w:val="000000"/>
          <w:sz w:val="24"/>
          <w:u w:val="single"/>
        </w:rPr>
        <w:t>Other Information</w:t>
      </w:r>
      <w:r>
        <w:rPr>
          <w:rFonts w:ascii="Times New Roman" w:hAnsi="Times New Roman"/>
          <w:i/>
          <w:color w:val="000000"/>
          <w:sz w:val="24"/>
        </w:rPr>
        <w:t>.</w:t>
      </w:r>
      <w:r>
        <w:rPr>
          <w:rFonts w:ascii="Times New Roman" w:hAnsi="Times New Roman"/>
          <w:color w:val="000000"/>
          <w:sz w:val="24"/>
        </w:rPr>
        <w:t xml:space="preserve"> Such other information (including non-financial information) as the Administrative Agent or any Group Agent may from time to time reasonably request.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Notices</w:t>
      </w:r>
      <w:r>
        <w:rPr>
          <w:rFonts w:ascii="Times New Roman" w:hAnsi="Times New Roman"/>
          <w:color w:val="000000"/>
          <w:sz w:val="24"/>
        </w:rPr>
        <w:t xml:space="preserve">. The Servicer and each Ashland Sub-Servicer will notify the Administrative Agent and each Group Agent in writing of any of the following events promptly upon (but in no event later than five (5) Business Days after) a Financial Officer or other officer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learning of the occurrence thereof, with such notice describing the same, and if applicable, the steps being taken by the Person(s) affected with respect thereto:</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 </w:t>
      </w:r>
      <w:r>
        <w:rPr>
          <w:rFonts w:ascii="Times New Roman" w:hAnsi="Times New Roman"/>
          <w:color w:val="000000"/>
          <w:sz w:val="24"/>
          <w:u w:val="single"/>
        </w:rPr>
        <w:t>Notice of Events of Termination or Unmatured Events of</w:t>
      </w:r>
      <w:r>
        <w:rPr>
          <w:rFonts w:ascii="Times New Roman" w:hAnsi="Times New Roman"/>
          <w:color w:val="000000"/>
          <w:sz w:val="24"/>
        </w:rPr>
        <w:t xml:space="preserve"> </w:t>
      </w:r>
      <w:r>
        <w:rPr>
          <w:rFonts w:ascii="Times New Roman" w:hAnsi="Times New Roman"/>
          <w:color w:val="000000"/>
          <w:sz w:val="24"/>
          <w:u w:val="single"/>
        </w:rPr>
        <w:t>Termination</w:t>
      </w:r>
      <w:r>
        <w:rPr>
          <w:rFonts w:ascii="Times New Roman" w:hAnsi="Times New Roman"/>
          <w:color w:val="000000"/>
          <w:sz w:val="24"/>
        </w:rPr>
        <w:t>. A statement of a Financial Officer of the Servicer and each Ashland Sub-Servicer (as applicable) setting forth details of any Event of Termination or Unmatured Event of Termination that has occurred and is continuing and the action which the Servicer and/or the Ashland Sub-Servicer proposes to take with respect thereto.</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(ii) </w:t>
      </w:r>
      <w:r>
        <w:rPr>
          <w:rFonts w:ascii="Times New Roman" w:hAnsi="Times New Roman"/>
          <w:color w:val="000000"/>
          <w:sz w:val="24"/>
          <w:u w:val="single"/>
        </w:rPr>
        <w:t>Litigation</w:t>
      </w:r>
      <w:r>
        <w:rPr>
          <w:rFonts w:ascii="Times New Roman" w:hAnsi="Times New Roman"/>
          <w:color w:val="000000"/>
          <w:sz w:val="24"/>
        </w:rPr>
        <w:t>. The institution of any litigation, arbitration proceeding or governmental proceeding which could reasonably be expected to have a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(iii) </w:t>
      </w:r>
      <w:r>
        <w:rPr>
          <w:rFonts w:ascii="Times New Roman" w:hAnsi="Times New Roman"/>
          <w:color w:val="000000"/>
          <w:sz w:val="24"/>
          <w:u w:val="single"/>
        </w:rPr>
        <w:t>Adverse Claim</w:t>
      </w:r>
      <w:r>
        <w:rPr>
          <w:rFonts w:ascii="Times New Roman" w:hAnsi="Times New Roman"/>
          <w:i/>
          <w:color w:val="000000"/>
          <w:sz w:val="24"/>
        </w:rPr>
        <w:t>.</w:t>
      </w:r>
      <w:r>
        <w:rPr>
          <w:rFonts w:ascii="Times New Roman" w:hAnsi="Times New Roman"/>
          <w:color w:val="000000"/>
          <w:sz w:val="24"/>
        </w:rPr>
        <w:t xml:space="preserve"> (A) Any Person shall obtain an Adverse Claim upon the Sold Assets or the Seller Collateral or any portion thereof, (B) any Person other than the Seller, the Servicer, any Ashland Sub-Servicer or the Administrative Agent shall obtain any rights or direct any action with respect to any Collection Account or Seller Collection Account or (C) any Obligor shall receive any change in payment instructions with respect to Pool Receivable(s) from a Person other than the Servicer, an Ashland Sub-Servicer or the Administrative Agent.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(iv) </w:t>
      </w:r>
      <w:r>
        <w:rPr>
          <w:rFonts w:ascii="Times New Roman" w:hAnsi="Times New Roman"/>
          <w:color w:val="000000"/>
          <w:sz w:val="24"/>
          <w:u w:val="single"/>
        </w:rPr>
        <w:t>Change in Name or Jurisdiction of Organization, etc</w:t>
      </w:r>
      <w:r>
        <w:rPr>
          <w:rFonts w:ascii="Times New Roman" w:hAnsi="Times New Roman"/>
          <w:color w:val="000000"/>
          <w:sz w:val="24"/>
        </w:rPr>
        <w:t>. At least thirty (30) days before any change in any Originator’s or the Seller’s name, jurisdiction of organization.</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(v) </w:t>
      </w:r>
      <w:r>
        <w:rPr>
          <w:rFonts w:ascii="Times New Roman" w:hAnsi="Times New Roman"/>
          <w:color w:val="000000"/>
          <w:sz w:val="24"/>
          <w:u w:val="single"/>
        </w:rPr>
        <w:t>Change in Accountants or Accounting Policy</w:t>
      </w:r>
      <w:r>
        <w:rPr>
          <w:rFonts w:ascii="Times New Roman" w:hAnsi="Times New Roman"/>
          <w:color w:val="000000"/>
          <w:sz w:val="24"/>
        </w:rPr>
        <w:t>. Any change in (i) the external accountants of the Seller, the Servicer, any Ashland Sub-Servicer, any Originator, the Parent or the Performance Guarantor, (ii) any accounting policy of the Seller or (iii) any material accounting policy of any Originator that is relevant to the transactions contemplated by the Receivables Purchase Agreement or any other Transaction Document (it being understood that any change to the manner in which any Originator accounts for the Pool Receivables shall be deemed “material” for such purpose).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(vi) </w:t>
      </w:r>
      <w:r>
        <w:rPr>
          <w:rFonts w:ascii="Times New Roman" w:hAnsi="Times New Roman"/>
          <w:color w:val="000000"/>
          <w:sz w:val="24"/>
          <w:u w:val="single"/>
        </w:rPr>
        <w:t>Termination Event</w:t>
      </w:r>
      <w:r>
        <w:rPr>
          <w:rFonts w:ascii="Times New Roman" w:hAnsi="Times New Roman"/>
          <w:color w:val="000000"/>
          <w:sz w:val="24"/>
        </w:rPr>
        <w:t>. The occurrence of a Purchase and Sale Termination Event under any Purchase and Sale Agreement.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(vii) </w:t>
      </w:r>
      <w:r>
        <w:rPr>
          <w:rFonts w:ascii="Times New Roman" w:hAnsi="Times New Roman"/>
          <w:color w:val="000000"/>
          <w:sz w:val="24"/>
          <w:u w:val="single"/>
        </w:rPr>
        <w:t>ERISA</w:t>
      </w:r>
      <w:r>
        <w:rPr>
          <w:rFonts w:ascii="Times New Roman" w:hAnsi="Times New Roman"/>
          <w:color w:val="000000"/>
          <w:sz w:val="24"/>
        </w:rPr>
        <w:t>. Promptly after the filing, giving or receiving thereof, copies of all reports and notices with respect to any Reportable Event pertaining to any Pension Plan and copies of any notice by any Person of its intent to terminate any Pension Plan, and promptly upon the occurrence thereof, written notice of any contribution failure with respect to any Pension Plan sufficient to give rise to a lien under Section 302(f) of ERISA or the incurrence by the Seller or any ERISA Affiliate of any material liability with respect to a Multiemployer Plan.</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(viii) </w:t>
      </w:r>
      <w:r>
        <w:rPr>
          <w:rFonts w:ascii="Times New Roman" w:hAnsi="Times New Roman"/>
          <w:color w:val="000000"/>
          <w:sz w:val="24"/>
          <w:u w:val="single"/>
        </w:rPr>
        <w:t>Material Adverse Change</w:t>
      </w:r>
      <w:r>
        <w:rPr>
          <w:rFonts w:ascii="Times New Roman" w:hAnsi="Times New Roman"/>
          <w:color w:val="000000"/>
          <w:sz w:val="24"/>
        </w:rPr>
        <w:t xml:space="preserve">. </w:t>
      </w:r>
      <w:r>
        <w:rPr>
          <w:rFonts w:ascii="Times New Roman" w:hAnsi="Times New Roman"/>
          <w:color w:val="000000"/>
          <w:sz w:val="24"/>
          <w:u w:val="single"/>
        </w:rPr>
        <w:t>Promptly after the occurrence</w:t>
      </w:r>
      <w:r>
        <w:rPr>
          <w:rFonts w:ascii="Times New Roman" w:hAnsi="Times New Roman"/>
          <w:color w:val="000000"/>
          <w:sz w:val="24"/>
        </w:rPr>
        <w:t xml:space="preserve"> </w:t>
      </w:r>
      <w:r>
        <w:rPr>
          <w:rFonts w:ascii="Times New Roman" w:hAnsi="Times New Roman"/>
          <w:color w:val="000000"/>
          <w:sz w:val="24"/>
          <w:u w:val="single"/>
        </w:rPr>
        <w:t>thereof, notice of any</w:t>
      </w:r>
      <w:r>
        <w:rPr>
          <w:rFonts w:ascii="Times New Roman" w:hAnsi="Times New Roman"/>
          <w:color w:val="000000"/>
          <w:sz w:val="24"/>
        </w:rPr>
        <w:t xml:space="preserve">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(d) </w:t>
      </w:r>
      <w:r>
        <w:rPr>
          <w:rFonts w:ascii="Times New Roman" w:hAnsi="Times New Roman"/>
          <w:color w:val="000000"/>
          <w:sz w:val="24"/>
          <w:u w:val="single"/>
        </w:rPr>
        <w:t>Conduct of Business</w:t>
      </w:r>
      <w:r>
        <w:rPr>
          <w:rFonts w:ascii="Times New Roman" w:hAnsi="Times New Roman"/>
          <w:color w:val="000000"/>
          <w:sz w:val="24"/>
        </w:rPr>
        <w:t xml:space="preserve">. The Servicer and each Ashland Sub-Servicer will carry on and conduct its business in substantially the same manner and in substantially the same fields of enterprise as it is presently conducted, and will do all things necessary to remain duly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organized, validly existing and in good standing as a domestic limited liability company in its jurisdiction of organization and maintain all requisite authority to conduct its business in each jurisdiction in which its business is conducted if the failure to have such authority could reasonably be expected to have a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(e) </w:t>
      </w:r>
      <w:r>
        <w:rPr>
          <w:rFonts w:ascii="Times New Roman" w:hAnsi="Times New Roman"/>
          <w:color w:val="000000"/>
          <w:sz w:val="24"/>
          <w:u w:val="single"/>
        </w:rPr>
        <w:t>Compliance with Laws</w:t>
      </w:r>
      <w:r>
        <w:rPr>
          <w:rFonts w:ascii="Times New Roman" w:hAnsi="Times New Roman"/>
          <w:color w:val="000000"/>
          <w:sz w:val="24"/>
        </w:rPr>
        <w:t>. The Servicer and each Ashland Sub-Servicer will comply with all Applicable Laws to which it may be subject if the failure to comply could reasonably be expected to have a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(f) </w:t>
      </w:r>
      <w:r>
        <w:rPr>
          <w:rFonts w:ascii="Times New Roman" w:hAnsi="Times New Roman"/>
          <w:color w:val="000000"/>
          <w:sz w:val="24"/>
          <w:u w:val="single"/>
        </w:rPr>
        <w:t>Furnishing of Information and Inspection of Receivables</w:t>
      </w:r>
      <w:r>
        <w:rPr>
          <w:rFonts w:ascii="Times New Roman" w:hAnsi="Times New Roman"/>
          <w:color w:val="000000"/>
          <w:sz w:val="24"/>
        </w:rPr>
        <w:t xml:space="preserve">. The Servicer will furnish or cause to be furnished to the Administrative Agent and each Group Agent from time to time such information with respect to the Pool Receivables and the other Sold Assets and Seller Collateral as the Administrative Agent or any Group Agent may reasonably request. The Servicer will, at the Servicer’s expense, during regular business hours with prior written notice, (i) permit the Administrative Agent and each Group Agent or their respective agents or representatives to (A) examine and make copies of and abstracts from all books and records relating to the Pool Receivables or other Sold Assets and the Seller Collateral, (B) visit the offices and properties of the Servicer for the purpose of examining such books and records and (C) discuss matters relating to the Pool Receivables, the other Sold Assets, the Seller Collateral or the Servicer’s performance hereunder or under the other Transaction Documents to which it is a party with any of the officers, directors, employees or independent public accountants of the Servicer (provided that representatives of the Servicer are present during such discussions) having knowledge of such matters and (ii) without limiting the provisions of </w:t>
      </w:r>
      <w:r>
        <w:rPr>
          <w:rFonts w:ascii="Times New Roman" w:hAnsi="Times New Roman"/>
          <w:color w:val="000000"/>
          <w:sz w:val="24"/>
          <w:u w:val="single"/>
        </w:rPr>
        <w:t>clause (i)</w:t>
      </w:r>
      <w:r>
        <w:rPr>
          <w:rFonts w:ascii="Times New Roman" w:hAnsi="Times New Roman"/>
          <w:color w:val="000000"/>
          <w:sz w:val="24"/>
        </w:rPr>
        <w:t xml:space="preserve"> above, during regular business hours, at the Servicer’s expense, at any time upon prior written notice from the Administrative Agent, and no less frequently than annually, permit certified public accountants or other auditors acceptable to the Administrative Agent to conduct a review of its books and records with respect to the Pool Receivables, the other Sold Assets and the Seller Collateral; </w:t>
      </w:r>
      <w:r>
        <w:rPr>
          <w:rFonts w:ascii="Times New Roman" w:hAnsi="Times New Roman"/>
          <w:color w:val="000000"/>
          <w:sz w:val="24"/>
          <w:u w:val="single"/>
        </w:rPr>
        <w:t>provided</w:t>
      </w:r>
      <w:r>
        <w:rPr>
          <w:rFonts w:ascii="Times New Roman" w:hAnsi="Times New Roman"/>
          <w:color w:val="000000"/>
          <w:sz w:val="24"/>
        </w:rPr>
        <w:t xml:space="preserve">, that the Servicer shall be required to reimburse the Administrative Agent for only one (1) such review pursuant to </w:t>
      </w:r>
      <w:r>
        <w:rPr>
          <w:rFonts w:ascii="Times New Roman" w:hAnsi="Times New Roman"/>
          <w:color w:val="000000"/>
          <w:sz w:val="24"/>
          <w:u w:val="single"/>
        </w:rPr>
        <w:t>clause (ii)</w:t>
      </w:r>
      <w:r>
        <w:rPr>
          <w:rFonts w:ascii="Times New Roman" w:hAnsi="Times New Roman"/>
          <w:color w:val="000000"/>
          <w:sz w:val="24"/>
        </w:rPr>
        <w:t xml:space="preserve"> above in any twelve-month period unless an Event of Termination has occurred and is continuing.</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(g) </w:t>
      </w:r>
      <w:r>
        <w:rPr>
          <w:rFonts w:ascii="Times New Roman" w:hAnsi="Times New Roman"/>
          <w:color w:val="000000"/>
          <w:sz w:val="24"/>
          <w:u w:val="single"/>
        </w:rPr>
        <w:t>Payments on Receivables, Collection Accounts</w:t>
      </w:r>
      <w:r>
        <w:rPr>
          <w:rFonts w:ascii="Times New Roman" w:hAnsi="Times New Roman"/>
          <w:color w:val="000000"/>
          <w:sz w:val="24"/>
        </w:rPr>
        <w:t>. The Servicer and each Ashland Sub-Servicer will at all times, instruct all Obligors to deliver payments on the Pool Receivables to a Collection Account. The Servicer and each Ashland Sub-Servicer will, at all times, maintain such books and records necessary to identify Collections received from time to time on Pool Receivables and to segregate such Collections from other property of the Servicer, each Ashland Sub-Servicer and the Originators. If any payments on the Pool Receivables or other Collections are received by the Seller, the Servicer, an Ashland Sub-Servicer or an Originator, it shall hold such payments in trust for the benefit of (or, to the extent the concept of a trust is not recognized in the relevant jurisdiction, on behalf of) the Administrative Agent, the Group Agents and the other Secured Parties and promptly (but in any event within two (2) Business Day after receipt) remit such funds into a Collection Account. The Servicer and each Ashland Sub-Servicer shall not permit funds other than Collections on Pool Receivables and other Sold Assets and Seller Collateral to be deposited into any Collection Account. If such funds are nevertheless deposited into any Collection Account, the Servicer (and/or the relevant Ashland Sub-Servicer) will within two (2) Business Days identify and transfer such funds to the appropriate Person entitled to such funds. The Servicer and each Ashland Sub-Servicer will not, and will not permit the Seller, any Originator or any other Person to commingle Collections or other funds to which the Administrative Agent, any Group Agent or any other Secured Party is entitled, with any other funds unless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agreed by the Administrative Agent in writing. The Servicer and each Ashland Sub-Servicer shall only add a Collection Account, or a Collection Account Bank to those listed on </w:t>
      </w:r>
      <w:r>
        <w:rPr>
          <w:rFonts w:ascii="Times New Roman" w:hAnsi="Times New Roman"/>
          <w:color w:val="000000"/>
          <w:sz w:val="24"/>
          <w:u w:val="single"/>
        </w:rPr>
        <w:t>Schedule</w:t>
      </w:r>
      <w:r>
        <w:rPr>
          <w:rFonts w:ascii="Times New Roman" w:hAnsi="Times New Roman"/>
          <w:color w:val="000000"/>
          <w:sz w:val="24"/>
        </w:rPr>
        <w:t xml:space="preserve"> </w:t>
      </w:r>
      <w:r>
        <w:rPr>
          <w:rFonts w:ascii="Times New Roman" w:hAnsi="Times New Roman"/>
          <w:color w:val="000000"/>
          <w:sz w:val="24"/>
          <w:u w:val="single"/>
        </w:rPr>
        <w:t>II</w:t>
      </w:r>
      <w:r>
        <w:rPr>
          <w:rFonts w:ascii="Times New Roman" w:hAnsi="Times New Roman"/>
          <w:color w:val="000000"/>
          <w:sz w:val="24"/>
        </w:rPr>
        <w:t xml:space="preserve"> to the Receivables Purchase Agreement, if the Administrative Agent has received notice of such addition and the relevant Collection Account Declaration of Trust and/or the relevant Collections Account Pledge Agreement (or an amendment thereto) in form and substance acceptable to the Administrative Agent from the applicable Collection Account Bank. The Servicer and/or each Ashland Sub-Servicer shall only terminate a Collection Account Bank or close a Collection Account or Seller Collection Account with the prior written consent of the Administrative Agent. The Servicer and/or each Ashland Sub-Servicer will not and will not permit any amount to be withdrawn from a Collection Account or a Seller Collection Account that would cause either of them to become overdrawn, without the prior consent of the Purchasers.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(h) </w:t>
      </w:r>
      <w:r>
        <w:rPr>
          <w:rFonts w:ascii="Times New Roman" w:hAnsi="Times New Roman"/>
          <w:color w:val="000000"/>
          <w:sz w:val="24"/>
          <w:u w:val="single"/>
        </w:rPr>
        <w:t>Extension or Amendment of Pool Receivables</w:t>
      </w:r>
      <w:r>
        <w:rPr>
          <w:rFonts w:ascii="Times New Roman" w:hAnsi="Times New Roman"/>
          <w:color w:val="000000"/>
          <w:sz w:val="24"/>
        </w:rPr>
        <w:t xml:space="preserve">. Except as otherwise permitted in </w:t>
      </w:r>
      <w:r>
        <w:rPr>
          <w:rFonts w:ascii="Times New Roman" w:hAnsi="Times New Roman"/>
          <w:color w:val="000000"/>
          <w:sz w:val="24"/>
          <w:u w:val="single"/>
        </w:rPr>
        <w:t>Section 6.02</w:t>
      </w:r>
      <w:r>
        <w:rPr>
          <w:rFonts w:ascii="Times New Roman" w:hAnsi="Times New Roman"/>
          <w:color w:val="000000"/>
          <w:sz w:val="24"/>
        </w:rPr>
        <w:t xml:space="preserve"> of the Receivables Purchase Agreement, the Servicer and each Ashland Sub-Servicer will not alter the delinquency status or adjust the Outstanding Balance or otherwise modify the terms of any Pool Receivable in any material respect, or amend, modify or waive, in any material respect, any term or condition of any related Contract. The Servicer and each Ashland Sub-Servicer shall at its expense, timely and fully perform and comply in all material respects with all provisions, covenants and other promises required to be observed by it under the Contracts related to the Pool Receivables, and timely and fully comply in all material respects with the Credit and Collection Policy with regard to each Pool Receivable and the related Contract.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 </w:t>
      </w:r>
      <w:r>
        <w:rPr>
          <w:rFonts w:ascii="Times New Roman" w:hAnsi="Times New Roman"/>
          <w:color w:val="000000"/>
          <w:sz w:val="24"/>
          <w:u w:val="single"/>
        </w:rPr>
        <w:t>Change in Credit and Collection Policy</w:t>
      </w:r>
      <w:r>
        <w:rPr>
          <w:rFonts w:ascii="Times New Roman" w:hAnsi="Times New Roman"/>
          <w:color w:val="000000"/>
          <w:sz w:val="24"/>
        </w:rPr>
        <w:t>. The Servicer and each Ashland Sub-Servicer will not make any change in the Credit and Collection Policy that could impair the collectability of any Eligible Receivable in any material respect or reasonably be expected to have a Material Adverse Effect without the prior written consent of the Administrative Agent and the Majority Group Agents. At least ten (10) Business Days prior to the date any material change in or amendment to the Credit and Collection Policy is made, the Servicer and/or the relevant Ashland Sub-Servicer will deliver a copy of the updated Credit and Collection Policy to the Administrative Agent and each Purchaser.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(j) </w:t>
      </w:r>
      <w:r>
        <w:rPr>
          <w:rFonts w:ascii="Times New Roman" w:hAnsi="Times New Roman"/>
          <w:color w:val="000000"/>
          <w:sz w:val="24"/>
          <w:u w:val="single"/>
        </w:rPr>
        <w:t>Records</w:t>
      </w:r>
      <w:r>
        <w:rPr>
          <w:rFonts w:ascii="Times New Roman" w:hAnsi="Times New Roman"/>
          <w:color w:val="000000"/>
          <w:sz w:val="24"/>
        </w:rPr>
        <w:t>. The Servicer will maintain and implement administrative and operating procedures (including an ability to recreate records evidencing Pool Receivables and related Contracts in the event of the destruction of the originals thereof), and keep and maintain all documents, books, records, computer tapes and disks and other information reasonably necessary or advisable for the collection of all Pool Receivables (including records adequate to permit the daily identification of each Pool Receivable and all Collections of and adjustments to each existing Pool Receivable). No Ashland Sub-Servicer shall hold, keep or maintain any documents, books, records, computer tapes and disks and other information reasonably necessary or advisable for the collection of any Pool Receivables.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(k) </w:t>
      </w:r>
      <w:r>
        <w:rPr>
          <w:rFonts w:ascii="Times New Roman" w:hAnsi="Times New Roman"/>
          <w:color w:val="000000"/>
          <w:sz w:val="24"/>
          <w:u w:val="single"/>
        </w:rPr>
        <w:t>Identifying of Records</w:t>
      </w:r>
      <w:r>
        <w:rPr>
          <w:rFonts w:ascii="Times New Roman" w:hAnsi="Times New Roman"/>
          <w:color w:val="000000"/>
          <w:sz w:val="24"/>
        </w:rPr>
        <w:t>. The Servicer shall identify its master data processing records relating to Pool Receivables and related Contracts with a legend that indicates that the Pool Receivables have been pledged in accordance with the Receivables Purchase Agreement.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(l) </w:t>
      </w:r>
      <w:r>
        <w:rPr>
          <w:rFonts w:ascii="Times New Roman" w:hAnsi="Times New Roman"/>
          <w:color w:val="000000"/>
          <w:sz w:val="24"/>
          <w:u w:val="single"/>
        </w:rPr>
        <w:t>Change in Payment Instructions to Obligors</w:t>
      </w:r>
      <w:r>
        <w:rPr>
          <w:rFonts w:ascii="Times New Roman" w:hAnsi="Times New Roman"/>
          <w:color w:val="000000"/>
          <w:sz w:val="24"/>
        </w:rPr>
        <w:t xml:space="preserve">. The Servicer and each Ashland Sub-Servicer shall not (and shall not permit any Sub-Servicer to) add, replace or terminate any Collection Account or make any change in its instructions to the Obligors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regarding payments to be made to the Collection Accounts, other than any instruction to remit payments to a different Collection Account, unless the Administrative Agent shall have received (i) prior written notice of such addition, termination or change and (ii) a signed and, the relevant Collection Account Declaration of Trust and/or the relevant Collection Account Pledge Agreement (or an amendment thereto) with respect to such new Collection Accounts and the Administrative Agent shall have consented to such change in writing.</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(m) </w:t>
      </w:r>
      <w:r>
        <w:rPr>
          <w:rFonts w:ascii="Times New Roman" w:hAnsi="Times New Roman"/>
          <w:color w:val="000000"/>
          <w:sz w:val="24"/>
          <w:u w:val="single"/>
        </w:rPr>
        <w:t>Security Interest, Etc.</w:t>
      </w:r>
      <w:r>
        <w:rPr>
          <w:rFonts w:ascii="Times New Roman" w:hAnsi="Times New Roman"/>
          <w:color w:val="000000"/>
          <w:sz w:val="24"/>
        </w:rPr>
        <w:t xml:space="preserve"> The Servicer and each Ashland Sub-Servicer shall, at its expense, take all action necessary or reasonably desirable to establish and maintain a valid and enforceable first priority security interest in the Sold Assets and Seller Collateral, in each case free and clear of any Adverse Claim in favour of the Administrative Agent (on behalf of the Secured Parties), including taking such action to perfect, protect or more fully evidence the security interest of the Administrative Agent (on behalf of the Secured Parties) as the Administrative Agent or any Secured Party may reasonably request. In order to evidence the security interests of the Administrative Agent under the Receivables Purchase Agreement, the Servicer and each Ashland Sub-Servicer shall, from time to time take such action, or execute and deliver such instruments as may be necessary (including, without limitation, such actions as are reasonably requested by the Administrative Agent) to maintain and perfect, as a first-priority interest, the Administrative Agent’s security interest in the Receivables, Related Security and Collections</w:t>
      </w:r>
      <w:r>
        <w:rPr>
          <w:rFonts w:ascii="Times New Roman" w:hAnsi="Times New Roman"/>
          <w:color w:val="414042"/>
          <w:sz w:val="24"/>
        </w:rPr>
        <w:t xml:space="preserve">. </w:t>
      </w:r>
      <w:r>
        <w:rPr>
          <w:rFonts w:ascii="Times New Roman" w:hAnsi="Times New Roman"/>
          <w:color w:val="000000"/>
          <w:sz w:val="24"/>
        </w:rPr>
        <w:t>The Servicer and each Ashland Sub-Servicer shall, from time to time and within the time limits established by law, prepare and present to the Administrative Agent for the Administrative Agent’s authorization and approval, all financing statements, amendments, continuations or initial financing statements in lieu of a continuation statement, or other filings necessary to continue, maintain and perfect the Administrative Agent’s security interest as a first-priority interest.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(n) </w:t>
      </w:r>
      <w:r>
        <w:rPr>
          <w:rFonts w:ascii="Times New Roman" w:hAnsi="Times New Roman"/>
          <w:color w:val="000000"/>
          <w:sz w:val="24"/>
          <w:u w:val="single"/>
        </w:rPr>
        <w:t>Further Assurances.</w:t>
      </w:r>
      <w:r>
        <w:rPr>
          <w:rFonts w:ascii="Times New Roman" w:hAnsi="Times New Roman"/>
          <w:color w:val="000000"/>
          <w:sz w:val="24"/>
        </w:rPr>
        <w:t xml:space="preserve"> The Servicer and each Ashland Sub-Servicer hereby authorizes and hereby agrees from time to time, at its own expense, promptly to execute (if necessary) and deliver all further instruments and documents, and to take all further actions, that may be necessary or desirable, or that the Administrative Agent may reasonably request, to (A) validly sell and assign the Receivables purported to be sold and assigned pursuant to the Receivables Purchase Agreement to the Administrative Agent (for the benefit of the Secured Parties) and (B) perfect, protect or more fully evidence the security interest granted pursuant to UK Security Agreement or any other Transaction Document, or to enable the Administrative Agent (on behalf of the Secured Parties) to exercise and enforce their respective rights and remedies under the Receivables Purchase Agreement or any other Transaction Document. Without limiting the foregoing, the Servicer and each Ashland Sub-Servicer hereby authorizes, and will, upon the request of the Administrative Agent, at the Servicer’s own expense, execute (if necessary) and file such financing statements or continuation statements, or amendments thereto, and such other instruments and documents, that may be necessary or desirable, or that the Administrative Agent may reasonably request, to perfect, protect or evidence any of the foregoing.</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(o) </w:t>
      </w:r>
      <w:r>
        <w:rPr>
          <w:rFonts w:ascii="Times New Roman" w:hAnsi="Times New Roman"/>
          <w:color w:val="000000"/>
          <w:sz w:val="24"/>
          <w:u w:val="single"/>
        </w:rPr>
        <w:t>Transaction Information</w:t>
      </w:r>
      <w:r>
        <w:rPr>
          <w:rFonts w:ascii="Times New Roman" w:hAnsi="Times New Roman"/>
          <w:color w:val="000000"/>
          <w:sz w:val="24"/>
        </w:rPr>
        <w:t>. None of the Servicer, any Ashland Sub-Servicer, any Affiliate of the Servicer or any Ashland Sub-Servicer or any third party contracted by the Servicer or any Ashland Sub-Servicer or any Affiliate thereof, shall deliver, in writing or orally, to any Rating Agency, any Transaction Information without providing such Transaction Information to the applicable Group Agent prior to delivery to such Rating Agency, and will not participate in any oral communications with respect to Transaction Information with any Rating Agency without the participation of such Group Agent.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(p) </w:t>
      </w:r>
      <w:r>
        <w:rPr>
          <w:rFonts w:ascii="Times New Roman" w:hAnsi="Times New Roman"/>
          <w:color w:val="000000"/>
          <w:sz w:val="24"/>
          <w:u w:val="single"/>
        </w:rPr>
        <w:t>Anti-Money Laundering/International Trade Law Compliance</w:t>
      </w:r>
      <w:r>
        <w:rPr>
          <w:rFonts w:ascii="Times New Roman" w:hAnsi="Times New Roman"/>
          <w:color w:val="000000"/>
          <w:sz w:val="24"/>
        </w:rPr>
        <w:t>. The Servicer and each Ashland Sub-Servicer will not become a Sanctioned Person. No Covered Entity, either in its own right or through any third party, will (a) have any of its assets in a Sanctioned Jurisdiction or in the possession, custody or control of a Sanctioned Person in violation of any Anti-Terrorism Law; (b) do business in or with, or derive any of its income from investments in or transactions with, any Sanctioned Jurisdiction or Sanctioned Person in violation of any Anti-Terrorism Law; (c) engage in any dealings or transactions prohibited by any Anti-Terrorism Law or (d) use the proceeds of any Investment to fund any operations in, finance any investments or activities in, or, make any payments to, a Sanctioned Jurisdiction or Sanctioned Person in violation of any Anti-Terrorism Law. The funds used to repay each Investment will not be derived from any unlawful activity. The Servicer and each Ashland Sub-Servicer shall comply with all Anti-Terrorism Laws. The Servicer shall promptly notify the Administrative Agent and each Purchaser in writing upon the occurrence of a Reportable Compliance Event.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(q) </w:t>
      </w:r>
      <w:r>
        <w:rPr>
          <w:rFonts w:ascii="Times New Roman" w:hAnsi="Times New Roman"/>
          <w:color w:val="000000"/>
          <w:sz w:val="24"/>
          <w:u w:val="single"/>
        </w:rPr>
        <w:t>Data Protection</w:t>
      </w:r>
      <w:r>
        <w:rPr>
          <w:rFonts w:ascii="Times New Roman" w:hAnsi="Times New Roman"/>
          <w:color w:val="000000"/>
          <w:sz w:val="24"/>
        </w:rPr>
        <w:t>. If and to the extent, Data Protection Laws apply to personal data processed (as defined in the relevant Data Protection Laws) by any party in connection with the performance of their obligations under, or in connection with, the Transaction Documents, where the Seller provides personal data (as defined in the relevant Data Protection Laws) to the Administrative Agent and/or the Purchasers, it shall provide all notices required to, and obtain all consents (if required) from, data subjects (as defined in the relevant Data Protection Laws) to enable the use, disclosure and processing of such personal data (as defined in the relevant Data Protection Laws) by the Seller, the Administrative Agent and the Purchasers in accordance with their respective obligations under applicable Data Protection Laws for the purposes contemplated under the Transaction Documents.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(r) </w:t>
      </w:r>
      <w:r>
        <w:rPr>
          <w:rFonts w:ascii="Times New Roman" w:hAnsi="Times New Roman"/>
          <w:color w:val="000000"/>
          <w:sz w:val="24"/>
          <w:u w:val="single"/>
        </w:rPr>
        <w:t>Taxes</w:t>
      </w:r>
      <w:r>
        <w:rPr>
          <w:rFonts w:ascii="Times New Roman" w:hAnsi="Times New Roman"/>
          <w:color w:val="000000"/>
          <w:sz w:val="24"/>
        </w:rPr>
        <w:t>. The Servicer and each Ashland Sub-Servicer will (i) timely file all Tax returns required to be filed by it and (ii) pay, or cause to be paid, all Taxes, assessments and other governmental charges, if any, other than Taxes, assessments and other governmental charges being contested in good faith by appropriate proceedings and as to which adequate reserves have been provided in accordance with GAAP.</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 </w:t>
      </w:r>
      <w:r>
        <w:rPr>
          <w:rFonts w:ascii="Times New Roman" w:hAnsi="Times New Roman"/>
          <w:color w:val="000000"/>
          <w:sz w:val="24"/>
          <w:u w:val="single"/>
        </w:rPr>
        <w:t>Seller's Tax Status</w:t>
      </w:r>
      <w:r>
        <w:rPr>
          <w:rFonts w:ascii="Times New Roman" w:hAnsi="Times New Roman"/>
          <w:color w:val="000000"/>
          <w:sz w:val="24"/>
        </w:rPr>
        <w:t>. The Servicer shall ensure that the Seller will not become treated other than as a designated activity company limited by shares incorporated under the Companies Act 2014 of Ireland and a "qualifying company" for the purposes of Section 110 of the TCA which is resident for applicable Tax purposes solely in Ireland.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(t) </w:t>
      </w:r>
      <w:r>
        <w:rPr>
          <w:rFonts w:ascii="Times New Roman" w:hAnsi="Times New Roman"/>
          <w:color w:val="000000"/>
          <w:sz w:val="24"/>
          <w:u w:val="single"/>
        </w:rPr>
        <w:t xml:space="preserve">Permanent establishment etc. </w:t>
      </w:r>
      <w:r>
        <w:rPr>
          <w:rFonts w:ascii="Times New Roman" w:hAnsi="Times New Roman"/>
          <w:color w:val="000000"/>
          <w:sz w:val="24"/>
        </w:rPr>
        <w:t>The Servicer and each Ashland Sub-Servicer shall not take any action that would cause the Seller to be subject to Tax in a jurisdiction outside of Ireland (including being subject to Tax as a result of the Seller being treated as having or being deemed to have a branch, agency or permanent establishment, fixed place of business or any business or fixed establishment in any jurisdiction other than Ireland for the purposes of any double taxation agreement entered into by Ireland).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(u) </w:t>
      </w:r>
      <w:r>
        <w:rPr>
          <w:rFonts w:ascii="Times New Roman" w:hAnsi="Times New Roman"/>
          <w:color w:val="000000"/>
          <w:sz w:val="24"/>
          <w:u w:val="single"/>
        </w:rPr>
        <w:t>Deemed Financial Covenants.</w:t>
      </w:r>
      <w:r>
        <w:rPr>
          <w:rFonts w:ascii="Times New Roman" w:hAnsi="Times New Roman"/>
          <w:color w:val="000000"/>
          <w:sz w:val="24"/>
        </w:rPr>
        <w:t xml:space="preserve"> If, at any time after the Closing Date and until the Final Payout Date, the Financial Covenants are amended or are otherwise varied from the Ashland Credit Agreement in effect on the Closing Date, Ashland shall provide copies of such changes or amendments to the Administrative Agent and each Group Agent within three (3) Business Days following the effective date of any such changes or amendments to the Ashland Credit Agreement. So long as each Committed Purchaser (or its Affiliates) is a party to the Ashland Credit Agreement as a lender thereunder, this Agreement shall not contain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independent financial covenants (whether identical to those in the Ashland Credit Agreement or otherwise). If any Committed Purchaser (and its Affiliates) ceases to be a party to the Ashland Credit Agreement as a lender thereunder (including due to termination or expiration of the Ashland Credit Agreement without being replaced by a successor credit agreement) and such Committed Purchaser does not otherwise consent to the Financial Covenants, Deemed Financial Covenants shall become effective. If requested by any Purchaser or the Administrative Agent, the Servicer, Ashland and each Ashland Sub-Servicer and the Seller shall cooperate with the Purchasers to amend the provisions of this Agreement to evidence the Deemed Financial Covenants (a “Financial Covenant Amendment”); provided that in lieu of Deemed Financial Covenants becoming effective, the Seller may instead exercise its rights to remove or replace the applicable Committed Purchaser and its Group under Section 2.06 of the Receivables Purchase Agreement. Neither the Administrative Agent nor any Purchaser shall require any fee to provide a waiver of any breach of a Financial Covenant or to document a Financial Covenant Amendment if such fee is in addition to the fees otherwise payable to such party as a lender under the Ashland Credit Agreement (it being understood that the foregoing shall not apply to the reimbursement of the Administrative Agent for reasonable legal expenses to the extent otherwise payable under Section 11.04 of the Receivables Purchase Agreement).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center"/>
        <w:rPr>
          <w:rFonts w:ascii="Times New Roman" w:hAnsi="Times New Roman"/>
          <w:color w:val="000000"/>
          <w:sz w:val="24"/>
        </w:rPr>
      </w:pPr>
      <w:r>
        <w:rPr>
          <w:rFonts w:ascii="Times New Roman" w:hAnsi="Times New Roman"/>
          <w:color w:val="000000"/>
          <w:sz w:val="24"/>
        </w:rPr>
        <w:t>Part 3</w:t>
      </w:r>
    </w:p>
    <w:p>
      <w:pPr>
        <w:pStyle w:val="TextBody"/>
        <w:bidi w:val="0"/>
        <w:jc w:val="center"/>
        <w:rPr>
          <w:rFonts w:ascii="Times New Roman" w:hAnsi="Times New Roman"/>
          <w:sz w:val="24"/>
        </w:rPr>
      </w:pPr>
      <w:r>
        <w:rPr>
          <w:rFonts w:ascii="Times New Roman" w:hAnsi="Times New Roman"/>
          <w:b/>
          <w:color w:val="000000"/>
          <w:sz w:val="24"/>
        </w:rPr>
        <w:t>Covenants</w:t>
      </w:r>
      <w:r>
        <w:rPr>
          <w:rFonts w:ascii="Times New Roman" w:hAnsi="Times New Roman"/>
          <w:color w:val="000000"/>
          <w:sz w:val="24"/>
        </w:rPr>
        <w:t xml:space="preserve"> </w:t>
      </w:r>
      <w:r>
        <w:rPr>
          <w:rFonts w:ascii="Times New Roman" w:hAnsi="Times New Roman"/>
          <w:b/>
          <w:color w:val="000000"/>
          <w:sz w:val="24"/>
        </w:rPr>
        <w:t>of</w:t>
      </w:r>
      <w:r>
        <w:rPr>
          <w:rFonts w:ascii="Times New Roman" w:hAnsi="Times New Roman"/>
          <w:color w:val="000000"/>
          <w:sz w:val="24"/>
        </w:rPr>
        <w:t xml:space="preserve"> </w:t>
      </w:r>
      <w:r>
        <w:rPr>
          <w:rFonts w:ascii="Times New Roman" w:hAnsi="Times New Roman"/>
          <w:b/>
          <w:color w:val="000000"/>
          <w:sz w:val="24"/>
        </w:rPr>
        <w:t>the</w:t>
      </w:r>
      <w:r>
        <w:rPr>
          <w:rFonts w:ascii="Times New Roman" w:hAnsi="Times New Roman"/>
          <w:color w:val="000000"/>
          <w:sz w:val="24"/>
        </w:rPr>
        <w:t xml:space="preserve"> </w:t>
      </w:r>
      <w:r>
        <w:rPr>
          <w:rFonts w:ascii="Times New Roman" w:hAnsi="Times New Roman"/>
          <w:b/>
          <w:color w:val="000000"/>
          <w:sz w:val="24"/>
        </w:rPr>
        <w:t>Performance</w:t>
      </w:r>
      <w:r>
        <w:rPr>
          <w:rFonts w:ascii="Times New Roman" w:hAnsi="Times New Roman"/>
          <w:color w:val="000000"/>
          <w:sz w:val="24"/>
        </w:rPr>
        <w:t xml:space="preserve"> </w:t>
      </w:r>
      <w:r>
        <w:rPr>
          <w:rFonts w:ascii="Times New Roman" w:hAnsi="Times New Roman"/>
          <w:b/>
          <w:color w:val="000000"/>
          <w:sz w:val="24"/>
        </w:rPr>
        <w:t>Guarantor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At all times from the Closing Date until the Final Payout Date: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Existence</w:t>
      </w:r>
      <w:r>
        <w:rPr>
          <w:rFonts w:ascii="Times New Roman" w:hAnsi="Times New Roman"/>
          <w:color w:val="000000"/>
          <w:sz w:val="24"/>
        </w:rPr>
        <w:t>. The Performance Guarantor shall keep in full force and effect its existence and rights as a corporation or other entity under the laws of its jurisdiction of formation. The Performance Guarantor shall obtain and preserve its qualification to do business in each jurisdiction in which the conduct of its business or the servicing of the Pool Receivables as required by any of the Transaction Documents requires such qualification, except where the failure to do so could not reasonably be expected to have a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Financial Reporting</w:t>
      </w:r>
      <w:r>
        <w:rPr>
          <w:rFonts w:ascii="Times New Roman" w:hAnsi="Times New Roman"/>
          <w:color w:val="000000"/>
          <w:sz w:val="24"/>
        </w:rPr>
        <w:t>. The Performance Guarantor will maintain a system of accounting established and administered in accordance with GAAP.</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Conduct of Business</w:t>
      </w:r>
      <w:r>
        <w:rPr>
          <w:rFonts w:ascii="Times New Roman" w:hAnsi="Times New Roman"/>
          <w:color w:val="000000"/>
          <w:sz w:val="24"/>
        </w:rPr>
        <w:t>. The Performance Guarantor will carry on and conduct its business in substantially the same manner and in substantially the same fields of enterprise as it is presently conducted, and will do all things necessary to remain duly organized, validly existing and in good standing as a domestic limited liability company in its jurisdiction of organization and maintain all requisite authority to conduct its business in each jurisdiction in which its business is conducted if the failure to have such authority could reasonably be expected to have a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(d) </w:t>
      </w:r>
      <w:r>
        <w:rPr>
          <w:rFonts w:ascii="Times New Roman" w:hAnsi="Times New Roman"/>
          <w:color w:val="000000"/>
          <w:sz w:val="24"/>
          <w:u w:val="single"/>
        </w:rPr>
        <w:t>Compliance with Laws</w:t>
      </w:r>
      <w:r>
        <w:rPr>
          <w:rFonts w:ascii="Times New Roman" w:hAnsi="Times New Roman"/>
          <w:color w:val="000000"/>
          <w:sz w:val="24"/>
        </w:rPr>
        <w:t>. The Performance Guarantor will comply with all Applicable Laws to which it may be subject if the failure to comply could reasonably be expected to have a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(e) </w:t>
      </w:r>
      <w:r>
        <w:rPr>
          <w:rFonts w:ascii="Times New Roman" w:hAnsi="Times New Roman"/>
          <w:color w:val="000000"/>
          <w:sz w:val="24"/>
          <w:u w:val="single"/>
        </w:rPr>
        <w:t>Transaction Information</w:t>
      </w:r>
      <w:r>
        <w:rPr>
          <w:rFonts w:ascii="Times New Roman" w:hAnsi="Times New Roman"/>
          <w:color w:val="000000"/>
          <w:sz w:val="24"/>
        </w:rPr>
        <w:t>. None of the Performance Guarantor, any Affiliate of the Performance Guarantor or any third party contracted by the Performance Guarantor or any Affiliate thereof, shall deliver, in writing or orally, to any Rating Agency, any Transaction Information without providing such Transaction Information to the applicable Group Agent prior to delivery to such Rating Agency, and will not participate in any oral communications with respect to Transaction Information with any Rating Agency without the participation of such Group Agent.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(f) </w:t>
      </w:r>
      <w:r>
        <w:rPr>
          <w:rFonts w:ascii="Times New Roman" w:hAnsi="Times New Roman"/>
          <w:color w:val="000000"/>
          <w:sz w:val="24"/>
          <w:u w:val="single"/>
        </w:rPr>
        <w:t>Merger and Asset Sales</w:t>
      </w:r>
      <w:r>
        <w:rPr>
          <w:rFonts w:ascii="Times New Roman" w:hAnsi="Times New Roman"/>
          <w:color w:val="000000"/>
          <w:sz w:val="24"/>
        </w:rPr>
        <w:t>. The Performance Guarantor shall not be a party to any merger, consolidation or other restructuring, or sell, transfer, assign, convey or lease (whether in one or a series of transactions) all or substantially all of its assets.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(g) </w:t>
      </w:r>
      <w:r>
        <w:rPr>
          <w:rFonts w:ascii="Times New Roman" w:hAnsi="Times New Roman"/>
          <w:color w:val="000000"/>
          <w:sz w:val="24"/>
          <w:u w:val="single"/>
        </w:rPr>
        <w:t>Anti-Money Laundering/International Trade Law Compliance.</w:t>
      </w:r>
      <w:r>
        <w:rPr>
          <w:rFonts w:ascii="Times New Roman" w:hAnsi="Times New Roman"/>
          <w:color w:val="000000"/>
          <w:sz w:val="24"/>
        </w:rPr>
        <w:t xml:space="preserve"> The Performance Guarantor will not become a Sanctioned Person. The Performance Guarantor, either in its own right or through any third party, will not (a) have any of its assets in a Sanctioned Jurisdiction or in the possession, custody or control of a Sanctioned Person in violation of any Anti-Terrorism Law; (b) do business in or with, or derive any of its income from investments in or transactions with, any Sanctioned Jurisdiction or Sanctioned Person in violation of any Anti-Terrorism Law or (c) engage in any dealings or transactions prohibited by any Anti-Terrorism Law. The Performance Guarantor shall comply with all Anti-Terrorism Laws. The Performance Guarantor shall promptly notify the Administrative Agent and each Purchaser in writing upon the occurrence of a Reportable Compliance Event.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(h) </w:t>
      </w:r>
      <w:r>
        <w:rPr>
          <w:rFonts w:ascii="Times New Roman" w:hAnsi="Times New Roman"/>
          <w:color w:val="000000"/>
          <w:sz w:val="24"/>
          <w:u w:val="single"/>
        </w:rPr>
        <w:t>Further Assurances.</w:t>
      </w:r>
      <w:r>
        <w:rPr>
          <w:rFonts w:ascii="Times New Roman" w:hAnsi="Times New Roman"/>
          <w:color w:val="000000"/>
          <w:sz w:val="24"/>
        </w:rPr>
        <w:t xml:space="preserve"> The Performance Guarantor hereby authorizes and hereby agrees from time to time, at its own expense, promptly to execute (if necessary) and deliver all further instruments and documents, and to take all further actions, that may be necessary or desirable, or that the Administrative Agent may reasonably request, to enable the Administrative Agent (on behalf of the Secured Parties) to exercise and enforce their respective rights and remedies under the Receivables Purchase Agreement, Performance Guaranty or any other Transaction Document.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center"/>
        <w:rPr>
          <w:rFonts w:ascii="Times New Roman" w:hAnsi="Times New Roman"/>
          <w:color w:val="000000"/>
          <w:sz w:val="24"/>
        </w:rPr>
      </w:pPr>
      <w:r>
        <w:rPr>
          <w:rFonts w:ascii="Times New Roman" w:hAnsi="Times New Roman"/>
          <w:color w:val="000000"/>
          <w:sz w:val="24"/>
        </w:rPr>
        <w:t>Part 4</w:t>
      </w:r>
    </w:p>
    <w:p>
      <w:pPr>
        <w:pStyle w:val="TextBody"/>
        <w:bidi w:val="0"/>
        <w:jc w:val="center"/>
        <w:rPr>
          <w:rFonts w:ascii="Times New Roman" w:hAnsi="Times New Roman"/>
          <w:sz w:val="24"/>
        </w:rPr>
      </w:pPr>
      <w:r>
        <w:rPr>
          <w:rFonts w:ascii="Times New Roman" w:hAnsi="Times New Roman"/>
          <w:b/>
          <w:color w:val="000000"/>
          <w:sz w:val="24"/>
        </w:rPr>
        <w:t>Covenants</w:t>
      </w:r>
      <w:r>
        <w:rPr>
          <w:rFonts w:ascii="Times New Roman" w:hAnsi="Times New Roman"/>
          <w:color w:val="000000"/>
          <w:sz w:val="24"/>
        </w:rPr>
        <w:t xml:space="preserve"> </w:t>
      </w:r>
      <w:r>
        <w:rPr>
          <w:rFonts w:ascii="Times New Roman" w:hAnsi="Times New Roman"/>
          <w:b/>
          <w:color w:val="000000"/>
          <w:sz w:val="24"/>
        </w:rPr>
        <w:t>of</w:t>
      </w:r>
      <w:r>
        <w:rPr>
          <w:rFonts w:ascii="Times New Roman" w:hAnsi="Times New Roman"/>
          <w:color w:val="000000"/>
          <w:sz w:val="24"/>
        </w:rPr>
        <w:t xml:space="preserve"> </w:t>
      </w:r>
      <w:r>
        <w:rPr>
          <w:rFonts w:ascii="Times New Roman" w:hAnsi="Times New Roman"/>
          <w:b/>
          <w:color w:val="000000"/>
          <w:sz w:val="24"/>
        </w:rPr>
        <w:t>the</w:t>
      </w:r>
      <w:r>
        <w:rPr>
          <w:rFonts w:ascii="Times New Roman" w:hAnsi="Times New Roman"/>
          <w:color w:val="000000"/>
          <w:sz w:val="24"/>
        </w:rPr>
        <w:t xml:space="preserve"> </w:t>
      </w:r>
      <w:r>
        <w:rPr>
          <w:rFonts w:ascii="Times New Roman" w:hAnsi="Times New Roman"/>
          <w:b/>
          <w:color w:val="000000"/>
          <w:sz w:val="24"/>
        </w:rPr>
        <w:t>Originators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From the date hereof until the Final Payout Date, each Originator will, unless the Administrative Agent shall otherwise consent in writing, perform the following covenants: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Financial Reporting</w:t>
      </w:r>
      <w:r>
        <w:rPr>
          <w:rFonts w:ascii="Times New Roman" w:hAnsi="Times New Roman"/>
          <w:color w:val="000000"/>
          <w:sz w:val="24"/>
        </w:rPr>
        <w:t>. Each Originator will maintain a system of accounting established and administered in accordance with GAAP, and each Originator shall furnish to the Seller, the Administrative Agent and each Purchaser such information as the Seller, the Administrative Agent or any Purchaser may from time to time reasonably request relating to such system to the extent related to the Receivables or Related Rights.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Notices</w:t>
      </w:r>
      <w:r>
        <w:rPr>
          <w:rFonts w:ascii="Times New Roman" w:hAnsi="Times New Roman"/>
          <w:color w:val="000000"/>
          <w:sz w:val="24"/>
        </w:rPr>
        <w:t>. Such Originator will notify the Seller and the Administrative Agent in writing of any of the following events promptly upon (but in no event later than five (5) Business Days after) a Financial Officer or other officer learning of the occurrence thereof, with such notice describing the same, and if applicable, the steps being taken by the Person(s) affected with respect thereto:</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 </w:t>
      </w:r>
      <w:r>
        <w:rPr>
          <w:rFonts w:ascii="Times New Roman" w:hAnsi="Times New Roman"/>
          <w:color w:val="000000"/>
          <w:sz w:val="24"/>
          <w:u w:val="single"/>
        </w:rPr>
        <w:t xml:space="preserve">Notice of </w:t>
      </w:r>
      <w:r>
        <w:rPr>
          <w:rFonts w:ascii="Times New Roman" w:hAnsi="Times New Roman"/>
          <w:color w:val="000000"/>
          <w:sz w:val="24"/>
        </w:rPr>
        <w:t>Purchase and Sale Termination Event, Event of Termination or Unmatured Event of Termination. A statement of a Financial Officer of such Originator setting forth details of any Purchase and Sale Termination Event (as defined in the applicable Purchase and Sale Agreement) that has occurred and is continuing and the action that such Originator proposes to take with respect thereto.</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(ii) </w:t>
      </w:r>
      <w:r>
        <w:rPr>
          <w:rFonts w:ascii="Times New Roman" w:hAnsi="Times New Roman"/>
          <w:color w:val="000000"/>
          <w:sz w:val="24"/>
          <w:u w:val="single"/>
        </w:rPr>
        <w:t>Litigation</w:t>
      </w:r>
      <w:r>
        <w:rPr>
          <w:rFonts w:ascii="Times New Roman" w:hAnsi="Times New Roman"/>
          <w:color w:val="000000"/>
          <w:sz w:val="24"/>
        </w:rPr>
        <w:t>. The institution of any litigation, arbitration proceeding or governmental proceeding with respect to such Originator, the Seller, the Servicer, the Performance Guarantor, or any other Originator, that with respect to any Person, could reasonably be expected to have a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(iii) </w:t>
      </w:r>
      <w:r>
        <w:rPr>
          <w:rFonts w:ascii="Times New Roman" w:hAnsi="Times New Roman"/>
          <w:color w:val="000000"/>
          <w:sz w:val="24"/>
          <w:u w:val="single"/>
        </w:rPr>
        <w:t>Adverse Claim</w:t>
      </w:r>
      <w:r>
        <w:rPr>
          <w:rFonts w:ascii="Times New Roman" w:hAnsi="Times New Roman"/>
          <w:i/>
          <w:color w:val="000000"/>
          <w:sz w:val="24"/>
        </w:rPr>
        <w:t>.</w:t>
      </w:r>
      <w:r>
        <w:rPr>
          <w:rFonts w:ascii="Times New Roman" w:hAnsi="Times New Roman"/>
          <w:color w:val="000000"/>
          <w:sz w:val="24"/>
        </w:rPr>
        <w:t xml:space="preserve"> (A) Any Person shall obtain an Adverse Claim upon Receivables or Related Rights or any portion thereof, (B) any Person other than an Originator, the Seller, the Servicer or the Administrative Agent shall obtain any rights or direct any action with respect to any Collection Account or Seller Collection Account or (C) any Obligor shall receive any change in payment instructions with respect to Pool Receivable(s) from a Person other than an Originator, the Servicer or the Administrative Agent.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(iv) </w:t>
      </w:r>
      <w:r>
        <w:rPr>
          <w:rFonts w:ascii="Times New Roman" w:hAnsi="Times New Roman"/>
          <w:color w:val="000000"/>
          <w:sz w:val="24"/>
          <w:u w:val="single"/>
        </w:rPr>
        <w:t>Name Changes</w:t>
      </w:r>
      <w:r>
        <w:rPr>
          <w:rFonts w:ascii="Times New Roman" w:hAnsi="Times New Roman"/>
          <w:color w:val="000000"/>
          <w:sz w:val="24"/>
        </w:rPr>
        <w:t>. Any change in such Originator’s name or jurisdiction of incorporation or organization.</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(v) </w:t>
      </w:r>
      <w:r>
        <w:rPr>
          <w:rFonts w:ascii="Times New Roman" w:hAnsi="Times New Roman"/>
          <w:color w:val="000000"/>
          <w:sz w:val="24"/>
          <w:u w:val="single"/>
        </w:rPr>
        <w:t>Change in Accountants or Accounting Policy</w:t>
      </w:r>
      <w:r>
        <w:rPr>
          <w:rFonts w:ascii="Times New Roman" w:hAnsi="Times New Roman"/>
          <w:color w:val="000000"/>
          <w:sz w:val="24"/>
        </w:rPr>
        <w:t>. Any change in (i) the external accountants of such Originator, the Servicer, any other Originator or the Parent or (ii) any material accounting policy of such Originator that is relevant to the transactions contemplated by the Purchase and Sale Agreement or any other Transaction Document (it being understood that any change to the manner in which such Originator accounts for the Receivables shall be deemed “material” for such purpose).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Conduct of Business; Preservation of Existence</w:t>
      </w:r>
      <w:r>
        <w:rPr>
          <w:rFonts w:ascii="Times New Roman" w:hAnsi="Times New Roman"/>
          <w:color w:val="000000"/>
          <w:sz w:val="24"/>
        </w:rPr>
        <w:t xml:space="preserve">. Each Originator will carry on and conduct its business in substantially the same manner and in substantially the same fields of enterprise as it is presently conducted and will do all things necessary to preserve and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keep in full force and effect its existence and, except where the failure to do so would not reasonably be expected to have a Material Adverse Effect, its franchises, authority to do business in each jurisdiction in which its business is conducted, licenses, patents, trademarks, copyrights and other proprietary rights;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nothing in this </w:t>
      </w:r>
      <w:r>
        <w:rPr>
          <w:rFonts w:ascii="Times New Roman" w:hAnsi="Times New Roman"/>
          <w:color w:val="000000"/>
          <w:sz w:val="24"/>
          <w:u w:val="single"/>
        </w:rPr>
        <w:t>paragraph (c)</w:t>
      </w:r>
      <w:r>
        <w:rPr>
          <w:rFonts w:ascii="Times New Roman" w:hAnsi="Times New Roman"/>
          <w:color w:val="000000"/>
          <w:sz w:val="24"/>
        </w:rPr>
        <w:t xml:space="preserve"> shall prevent any transaction permitted by </w:t>
      </w:r>
      <w:r>
        <w:rPr>
          <w:rFonts w:ascii="Times New Roman" w:hAnsi="Times New Roman"/>
          <w:color w:val="000000"/>
          <w:sz w:val="24"/>
          <w:u w:val="single"/>
        </w:rPr>
        <w:t>paragraph (o)</w:t>
      </w:r>
      <w:r>
        <w:rPr>
          <w:rFonts w:ascii="Times New Roman" w:hAnsi="Times New Roman"/>
          <w:color w:val="000000"/>
          <w:sz w:val="24"/>
        </w:rPr>
        <w:t xml:space="preserve"> below or not otherwise prohibited by the Purchase and Sale Agreement or any other Transaction Document.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(d) </w:t>
      </w:r>
      <w:r>
        <w:rPr>
          <w:rFonts w:ascii="Times New Roman" w:hAnsi="Times New Roman"/>
          <w:color w:val="000000"/>
          <w:sz w:val="24"/>
          <w:u w:val="single"/>
        </w:rPr>
        <w:t>Compliance with Laws</w:t>
      </w:r>
      <w:r>
        <w:rPr>
          <w:rFonts w:ascii="Times New Roman" w:hAnsi="Times New Roman"/>
          <w:color w:val="000000"/>
          <w:sz w:val="24"/>
        </w:rPr>
        <w:t>. Each Originator will comply with the requirements of all Applicable Laws to which it may be subject, except in such instance where any failure to comply therewith, individually or in the aggregate, could not reasonably be expected to have a Material Adverse Effect.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(e) </w:t>
      </w:r>
      <w:r>
        <w:rPr>
          <w:rFonts w:ascii="Times New Roman" w:hAnsi="Times New Roman"/>
          <w:color w:val="000000"/>
          <w:sz w:val="24"/>
          <w:u w:val="single"/>
        </w:rPr>
        <w:t>Furnishing of Information and Inspection of Receivables</w:t>
      </w:r>
      <w:r>
        <w:rPr>
          <w:rFonts w:ascii="Times New Roman" w:hAnsi="Times New Roman"/>
          <w:color w:val="000000"/>
          <w:sz w:val="24"/>
        </w:rPr>
        <w:t>. Each Originator will furnish or cause to be furnished to the Seller, the Administrative Agent and each Purchaser from time to time such information with respect to the Pool Receivables as the Seller, the Administrative Agent or any Purchaser may reasonably request in writing. Each Originator will, at such Originator’s expense, during regular business hours upon reasonable prior written notice, permit the Seller, the Administrative Agent and/or any Purchaser or their respective agents or representatives to (i) examine and make copies of and abstracts from all books and records relating to the Pool Receivables or other Support Assets, (ii) visit the offices and properties of such Originator for the purpose of examining such books and records, and (iii) discuss matters relating to the Pool Receivables, other Support Assets or such Originator’s performance under hereunder or under the Transaction Documents to which it is a party with any of the officers, directors or employees of such Originator and its independent accountants, in each case, having knowledge of such matters; provided, that unless an Event of Termination has occurred and is continuing, each Originator shall be required to reimburse the Seller, the Administrative Agent and Purchasers, together, for their out-of-pocket expenses of only one (1) such review (pursuant to the Receivables Purchase Agreement) in any twelve-month period.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(f) </w:t>
      </w:r>
      <w:r>
        <w:rPr>
          <w:rFonts w:ascii="Times New Roman" w:hAnsi="Times New Roman"/>
          <w:color w:val="000000"/>
          <w:sz w:val="24"/>
          <w:u w:val="single"/>
        </w:rPr>
        <w:t>Payments on Receivables, Collection Accounts</w:t>
      </w:r>
      <w:r>
        <w:rPr>
          <w:rFonts w:ascii="Times New Roman" w:hAnsi="Times New Roman"/>
          <w:color w:val="000000"/>
          <w:sz w:val="24"/>
        </w:rPr>
        <w:t>. Each Originator will, at all times, instruct all Obligors to deliver payments on the Pool Receivables to a Collection Account. If any payments on the Pool Receivables or other Collections are received by an Originator, the Seller or the Servicer, it shall hold (or cause such Originator, the Seller or the Servicer to hold) such payments in trust for the benefit of the Seller (and the Administrative Agent and the Purchasers as the Seller’s assignees) and promptly (but in any event within two (2) Business Days after receipt) remit such funds into a Collection Account. The Originators shall not permit funds other than (i) Collections on Pool Receivables and (ii) other Support Assets to be deposited into any Collection Account. If any other funds that do not constitute Collections on Pool Receivables are deposited into any Collection Account, the Originators will cause the Servicer to, within two (2) Business Days, identify and transfer such funds out of the Collection Account to (or pursuant to the instructions of) the Person entitled to such funds. The Originators will not, and will not permit any other Person, to commingle Collections with any other funds in any Collection Account unless agreed by the Administrative Agent in writing. The Originators shall only add (or permit the Servicer to add) a Collection Account to those listed in the Receivables Purchase Agreement, if the Administrative Agent has received notice of such addition and an executed and acknowledged copy of a Security Document (or an amendment thereto) in form and substance acceptable to the Administrative Agent. The Originators shall only close a Collection Account with the prior written consent of the Administrative Agent.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2"/>
        </w:rPr>
      </w:pPr>
      <w:r>
        <w:rPr>
          <w:rFonts w:ascii="Times New Roman" w:hAnsi="Times New Roman"/>
          <w:color w:val="000000"/>
          <w:sz w:val="24"/>
        </w:rPr>
        <w:t xml:space="preserve">(g) </w:t>
      </w:r>
      <w:r>
        <w:rPr>
          <w:rFonts w:ascii="Times New Roman" w:hAnsi="Times New Roman"/>
          <w:color w:val="000000"/>
          <w:sz w:val="24"/>
          <w:u w:val="single"/>
        </w:rPr>
        <w:t>Sales, Liens, etc.</w:t>
      </w:r>
      <w:r>
        <w:rPr>
          <w:rFonts w:ascii="Times New Roman" w:hAnsi="Times New Roman"/>
          <w:color w:val="000000"/>
          <w:sz w:val="22"/>
        </w:rPr>
        <w:t xml:space="preserve"> </w:t>
      </w:r>
      <w:r>
        <w:rPr>
          <w:rFonts w:ascii="Times New Roman" w:hAnsi="Times New Roman"/>
          <w:color w:val="000000"/>
          <w:sz w:val="24"/>
        </w:rPr>
        <w:t>Except as otherwise provided in the Transaction Documents, no Originator will sell, assign (by operation of law or otherwise) or otherwise dispose of, or create or suffer to exist any Adverse Claim upon (including, without limitation, the filing of any</w:t>
      </w:r>
      <w:r>
        <w:rPr>
          <w:rFonts w:ascii="Times New Roman" w:hAnsi="Times New Roman"/>
          <w:color w:val="000000"/>
          <w:sz w:val="22"/>
        </w:rPr>
        <w:t xml:space="preserve"> </w:t>
      </w:r>
      <w:r>
        <w:rPr>
          <w:rFonts w:ascii="Times New Roman" w:hAnsi="Times New Roman"/>
          <w:color w:val="000000"/>
          <w:sz w:val="24"/>
        </w:rPr>
        <w:t>financing statement)</w:t>
      </w:r>
      <w:r>
        <w:rPr>
          <w:rFonts w:ascii="Times New Roman" w:hAnsi="Times New Roman"/>
          <w:color w:val="000000"/>
          <w:sz w:val="22"/>
        </w:rPr>
        <w:t xml:space="preserve"> </w:t>
      </w:r>
      <w:r>
        <w:rPr>
          <w:rFonts w:ascii="Times New Roman" w:hAnsi="Times New Roman"/>
          <w:color w:val="000000"/>
          <w:sz w:val="24"/>
        </w:rPr>
        <w:t>or with respect</w:t>
      </w:r>
      <w:r>
        <w:rPr>
          <w:rFonts w:ascii="Times New Roman" w:hAnsi="Times New Roman"/>
          <w:color w:val="000000"/>
          <w:sz w:val="22"/>
        </w:rPr>
        <w:t xml:space="preserve"> </w:t>
      </w:r>
      <w:r>
        <w:rPr>
          <w:rFonts w:ascii="Times New Roman" w:hAnsi="Times New Roman"/>
          <w:color w:val="000000"/>
          <w:sz w:val="24"/>
        </w:rPr>
        <w:t>to, any Pool</w:t>
      </w:r>
      <w:r>
        <w:rPr>
          <w:rFonts w:ascii="Times New Roman" w:hAnsi="Times New Roman"/>
          <w:color w:val="000000"/>
          <w:sz w:val="22"/>
        </w:rPr>
        <w:t xml:space="preserve"> </w:t>
      </w:r>
      <w:r>
        <w:rPr>
          <w:rFonts w:ascii="Times New Roman" w:hAnsi="Times New Roman"/>
          <w:color w:val="000000"/>
          <w:sz w:val="24"/>
        </w:rPr>
        <w:t>Receivable or other</w:t>
      </w:r>
      <w:r>
        <w:rPr>
          <w:rFonts w:ascii="Times New Roman" w:hAnsi="Times New Roman"/>
          <w:color w:val="000000"/>
          <w:sz w:val="22"/>
        </w:rPr>
        <w:t xml:space="preserve"> </w:t>
      </w:r>
      <w:r>
        <w:rPr>
          <w:rFonts w:ascii="Times New Roman" w:hAnsi="Times New Roman"/>
          <w:color w:val="000000"/>
          <w:sz w:val="24"/>
        </w:rPr>
        <w:t>Related Rights, or assign any right to receive income in respect thereof.</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(h) </w:t>
      </w:r>
      <w:r>
        <w:rPr>
          <w:rFonts w:ascii="Times New Roman" w:hAnsi="Times New Roman"/>
          <w:color w:val="000000"/>
          <w:sz w:val="24"/>
          <w:u w:val="single"/>
        </w:rPr>
        <w:t>Extension or Amendment of Pool Receivables</w:t>
      </w:r>
      <w:r>
        <w:rPr>
          <w:rFonts w:ascii="Times New Roman" w:hAnsi="Times New Roman"/>
          <w:i/>
          <w:color w:val="000000"/>
          <w:sz w:val="24"/>
        </w:rPr>
        <w:t>.</w:t>
      </w:r>
      <w:r>
        <w:rPr>
          <w:rFonts w:ascii="Times New Roman" w:hAnsi="Times New Roman"/>
          <w:color w:val="000000"/>
          <w:sz w:val="24"/>
        </w:rPr>
        <w:t xml:space="preserve"> Except as otherwise permitted by the Receivables Purchase Agreement, no Originator will, or will permit the Servicer to, alter the delinquency status or adjust the Outstanding Balance or otherwise modify the terms of any Pool Receivable in any material respect, or amend, modify or waive, in any material respect, any term or condition of any related Contract. Each Originator shall at its expense comply in all material respects with all provisions, covenants and other promises required to be observed by it under the Contracts related to the Pool Receivables, and comply in all material respects with the Credit and Collection Policy with regard to each Pool Receivable and the related Contract.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 </w:t>
      </w:r>
      <w:r>
        <w:rPr>
          <w:rFonts w:ascii="Times New Roman" w:hAnsi="Times New Roman"/>
          <w:color w:val="000000"/>
          <w:sz w:val="24"/>
          <w:u w:val="single"/>
        </w:rPr>
        <w:t>Fundamental Changes</w:t>
      </w:r>
      <w:r>
        <w:rPr>
          <w:rFonts w:ascii="Times New Roman" w:hAnsi="Times New Roman"/>
          <w:color w:val="000000"/>
          <w:sz w:val="24"/>
        </w:rPr>
        <w:t>. Each Originator shall not make any change in such Originator’s name, location or making any other change in such Originator’s identity or corporate structure unless the Seller and the Administrative Agent have each (A) received 10 Business Days’ prior notice thereof, (B) received executed copies of all documents, certificates and opinions (including, without limitation, opinions relating to bankruptcy) as the Seller or the Administrative Agent shall reasonably request and (C) been reasonably satisfied that all other action to perfect and protect the interests of the Seller and the Administrative Agent, on behalf of the Purchasers, in and to the Receivables to be sold by it hereunder and other Related Rights, as reasonably requested by the Seller or the Administrative Agent shall have been taken by, and at the expense of, such Originator (including the receipt of certificates and other requested documents from public officials and all such other actions required pursuant to the applicable Purchase and Sale Agreement).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(j) </w:t>
      </w:r>
      <w:r>
        <w:rPr>
          <w:rFonts w:ascii="Times New Roman" w:hAnsi="Times New Roman"/>
          <w:color w:val="000000"/>
          <w:sz w:val="24"/>
          <w:u w:val="single"/>
        </w:rPr>
        <w:t>Change in Credit and Collection Policy</w:t>
      </w:r>
      <w:r>
        <w:rPr>
          <w:rFonts w:ascii="Times New Roman" w:hAnsi="Times New Roman"/>
          <w:color w:val="000000"/>
          <w:sz w:val="24"/>
        </w:rPr>
        <w:t>. No Originator will make any change in the Credit and Collection Policy that could impair the collectability of any Eligible Receivable in any material respect or reasonably be expected to have a Material Adverse Effect without the prior written consent of the Administrative Agent and the Majority Group Agents. At least ten (10) Business Days prior to the date any material change in or amendment to the Credit and Collection Policy is made, each Originator will deliver a copy of the updated Credit and Collection Policy to the Administrative Agent and each Purchaser.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(k) </w:t>
      </w:r>
      <w:r>
        <w:rPr>
          <w:rFonts w:ascii="Times New Roman" w:hAnsi="Times New Roman"/>
          <w:color w:val="000000"/>
          <w:sz w:val="24"/>
          <w:u w:val="single"/>
        </w:rPr>
        <w:t>Records</w:t>
      </w:r>
      <w:r>
        <w:rPr>
          <w:rFonts w:ascii="Times New Roman" w:hAnsi="Times New Roman"/>
          <w:color w:val="000000"/>
          <w:sz w:val="24"/>
        </w:rPr>
        <w:t>. Each Originator will maintain and implement (or cause the Servicer to maintain and implement) administrative and operating procedures (including an ability to recreate records evidencing Pool Receivables and related Contracts in the event of the destruction of the originals thereof), and keep and maintain (or cause the Servicer to keep and maintain) all documents, books, records, computer tapes and disks and other information reasonably necessary or advisable for the collection of all Pool Receivables (including records adequate to permit the daily identification of each Pool Receivable and all Collections of and adjustments to each existing Pool Receivable).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(l) </w:t>
      </w:r>
      <w:r>
        <w:rPr>
          <w:rFonts w:ascii="Times New Roman" w:hAnsi="Times New Roman"/>
          <w:color w:val="000000"/>
          <w:sz w:val="24"/>
          <w:u w:val="single"/>
        </w:rPr>
        <w:t>Ownership Interest, Etc.</w:t>
      </w:r>
      <w:r>
        <w:rPr>
          <w:rFonts w:ascii="Times New Roman" w:hAnsi="Times New Roman"/>
          <w:color w:val="000000"/>
          <w:sz w:val="24"/>
        </w:rPr>
        <w:t xml:space="preserve"> Each Originator shall (and shall cause the Servicer to), at its expense, take all action necessary or reasonably desirable to establish and maintain a valid and enforceable ownership or security interest in the Pool Receivables, the Related Rights and Collections with respect thereto, and a first priority security interest in the Support Assets, in each case free and clear of any Adverse Claim, in favor of the Seller (and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Administrative Agent (on behalf of the Purchasers), as the Seller’s assignee), including taking such action to perfect, protect or more fully evidence the interest of the Seller (and the Administrative Agent (on behalf of the Purchasers), as the Seller’s assignee) as the Seller, the Administrative Agent or any Purchaser may reasonably request. In order to evidence the security interests of the Administrative Agent under the Transaction Documents, such Originator shall, from time to time take such action, or execute and deliver such instruments as may be necessary (including, without limitation, such actions as are reasonably requested by the Administrative Agent) to maintain and perfect, as a first-priority interest, the Administrative Agent’s security interest in the Receivables, Related Security and Collections. Such Originator shall, from time to time, within the time limits established by law, prepare and present to the Administrative Agent for the Administrative Agent’s authorization and approval, all financing statements, amendments, continuations or initial financing statements in lieu of a continuation statement, or other filings necessary to continue, maintain and perfect the Administrative Agent’s security interest as a first-priority interest. Notwithstanding anything else in the Transaction Documents to the contrary, such Originator shall not have any authority to file a termination, partial termination, release, partial release, or any amendment that deletes the name of a debtor or excludes Support Assets of any such financing statements filed in connection with the Transaction Documents, without the prior written consent of the Administrative Agent.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(m) </w:t>
      </w:r>
      <w:r>
        <w:rPr>
          <w:rFonts w:ascii="Times New Roman" w:hAnsi="Times New Roman"/>
          <w:color w:val="000000"/>
          <w:sz w:val="24"/>
          <w:u w:val="single"/>
        </w:rPr>
        <w:t>Further Assurances.</w:t>
      </w:r>
      <w:r>
        <w:rPr>
          <w:rFonts w:ascii="Times New Roman" w:hAnsi="Times New Roman"/>
          <w:color w:val="000000"/>
          <w:sz w:val="24"/>
        </w:rPr>
        <w:t xml:space="preserve"> Each Originator hereby authorizes and hereby agrees from time to time, at its own expense, promptly to execute (if necessary) and deliver all further instruments and documents, and to take all further actions, that may be necessary or desirable, or that the Seller, the Servicer, any Purchaser or the Administrative Agent may reasonably request, to perfect, protect or more fully evidence the purchases and contributions made under the Transaction Documents and/or security interest granted pursuant to the Receivables Purchase Agreement or any other Transaction Document, or to enable the Seller or the Administrative Agent (on behalf of the Purchasers) to exercise and enforce their respective rights and remedies under any Transaction Document. Without limiting the foregoing, such Originator hereby authorizes, and will, upon the request of the Seller or the Administrative Agent, at such Originator’s own expense, execute (if necessary) and file such financing statements or continuation statements, or amendments thereto, and such other instruments and documents, that may be necessary or desirable, or that the Seller or Administrative Agent may reasonably request, to perfect, protect or evidence any of the foregoing.</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(n) </w:t>
      </w:r>
      <w:r>
        <w:rPr>
          <w:rFonts w:ascii="Times New Roman" w:hAnsi="Times New Roman"/>
          <w:color w:val="000000"/>
          <w:sz w:val="24"/>
          <w:u w:val="single"/>
        </w:rPr>
        <w:t>Mergers, Acquisitions, Sales, etc</w:t>
      </w:r>
      <w:r>
        <w:rPr>
          <w:rFonts w:ascii="Times New Roman" w:hAnsi="Times New Roman"/>
          <w:color w:val="000000"/>
          <w:sz w:val="24"/>
        </w:rPr>
        <w:t>. No Originator shall consolidate or merge with or into, or sell, lease or transfer all or substantially all of its assets to, any other Person, unless (i) no Event of Termination would be expected to occur as a result of such transaction and (ii) if the surviving entity of such merger or the lessee or acquirer of such assets is not already an Originator, such Person executes and delivers to the Administrative Agent an agreement by which such Person assumes the obligations of the applicable Originator hereunder and under the other Transaction Documents to which it is a party, or confirms that such obligations remain enforceable against it, together with such certificates and opinions of counsel as the Administrative Agent may reasonably request. No Italian Originator shall segregate assets or revenues pursuant to Article 2447-bis (</w:t>
      </w:r>
      <w:r>
        <w:rPr>
          <w:rFonts w:ascii="Times New Roman" w:hAnsi="Times New Roman"/>
          <w:i/>
          <w:color w:val="000000"/>
          <w:sz w:val="24"/>
        </w:rPr>
        <w:t>Patrimoni</w:t>
      </w:r>
      <w:r>
        <w:rPr>
          <w:rFonts w:ascii="Times New Roman" w:hAnsi="Times New Roman"/>
          <w:color w:val="000000"/>
          <w:sz w:val="24"/>
        </w:rPr>
        <w:t xml:space="preserve"> </w:t>
      </w:r>
      <w:r>
        <w:rPr>
          <w:rFonts w:ascii="Times New Roman" w:hAnsi="Times New Roman"/>
          <w:i/>
          <w:color w:val="000000"/>
          <w:sz w:val="24"/>
        </w:rPr>
        <w:t>Destinati</w:t>
      </w:r>
      <w:r>
        <w:rPr>
          <w:rFonts w:ascii="Times New Roman" w:hAnsi="Times New Roman"/>
          <w:color w:val="000000"/>
          <w:sz w:val="24"/>
        </w:rPr>
        <w:t xml:space="preserve"> </w:t>
      </w:r>
      <w:r>
        <w:rPr>
          <w:rFonts w:ascii="Times New Roman" w:hAnsi="Times New Roman"/>
          <w:i/>
          <w:color w:val="000000"/>
          <w:sz w:val="24"/>
        </w:rPr>
        <w:t>ad</w:t>
      </w:r>
      <w:r>
        <w:rPr>
          <w:rFonts w:ascii="Times New Roman" w:hAnsi="Times New Roman"/>
          <w:color w:val="000000"/>
          <w:sz w:val="24"/>
        </w:rPr>
        <w:t xml:space="preserve"> </w:t>
      </w:r>
      <w:r>
        <w:rPr>
          <w:rFonts w:ascii="Times New Roman" w:hAnsi="Times New Roman"/>
          <w:i/>
          <w:color w:val="000000"/>
          <w:sz w:val="24"/>
        </w:rPr>
        <w:t>uno</w:t>
      </w:r>
      <w:r>
        <w:rPr>
          <w:rFonts w:ascii="Times New Roman" w:hAnsi="Times New Roman"/>
          <w:color w:val="000000"/>
          <w:sz w:val="24"/>
        </w:rPr>
        <w:t xml:space="preserve"> </w:t>
      </w:r>
      <w:r>
        <w:rPr>
          <w:rFonts w:ascii="Times New Roman" w:hAnsi="Times New Roman"/>
          <w:i/>
          <w:color w:val="000000"/>
          <w:sz w:val="24"/>
        </w:rPr>
        <w:t>Specifico Affare</w:t>
      </w:r>
      <w:r>
        <w:rPr>
          <w:rFonts w:ascii="Times New Roman" w:hAnsi="Times New Roman"/>
          <w:color w:val="000000"/>
          <w:sz w:val="24"/>
        </w:rPr>
        <w:t>) of the Italian Civil Code, letter (a) and (b).</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(o) </w:t>
      </w:r>
      <w:r>
        <w:rPr>
          <w:rFonts w:ascii="Times New Roman" w:hAnsi="Times New Roman"/>
          <w:color w:val="000000"/>
          <w:sz w:val="24"/>
          <w:u w:val="single"/>
        </w:rPr>
        <w:t>Frequency of Billing</w:t>
      </w:r>
      <w:r>
        <w:rPr>
          <w:rFonts w:ascii="Times New Roman" w:hAnsi="Times New Roman"/>
          <w:color w:val="000000"/>
          <w:sz w:val="24"/>
        </w:rPr>
        <w:t>. Prepare and deliver (or cause to be prepared and delivered) invoices with respect to all Receivables in accordance with the Credit and Collection Policies, but in any event no less frequently than as required under the Contract related to such Receivable.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(p) </w:t>
      </w:r>
      <w:r>
        <w:rPr>
          <w:rFonts w:ascii="Times New Roman" w:hAnsi="Times New Roman"/>
          <w:color w:val="000000"/>
          <w:sz w:val="24"/>
          <w:u w:val="single"/>
        </w:rPr>
        <w:t>Receivables Not to Be Evidenced by Promissory Notes or Chattel Paper</w:t>
      </w:r>
      <w:r>
        <w:rPr>
          <w:rFonts w:ascii="Times New Roman" w:hAnsi="Times New Roman"/>
          <w:color w:val="000000"/>
          <w:sz w:val="24"/>
        </w:rPr>
        <w:t>. No Originator shall take any action to cause or permit any Receivable created, acquired or originated by it to become evidenced by any “instrument” or “chattel paper” (as defined in the applicable UCC) without the prior written consent of the Seller and the Administrative Agent.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(q) </w:t>
      </w:r>
      <w:r>
        <w:rPr>
          <w:rFonts w:ascii="Times New Roman" w:hAnsi="Times New Roman"/>
          <w:color w:val="000000"/>
          <w:sz w:val="24"/>
          <w:u w:val="single"/>
        </w:rPr>
        <w:t>Anti-Money Laundering/International Trade Law Compliance</w:t>
      </w:r>
      <w:r>
        <w:rPr>
          <w:rFonts w:ascii="Times New Roman" w:hAnsi="Times New Roman"/>
          <w:color w:val="000000"/>
          <w:sz w:val="24"/>
        </w:rPr>
        <w:t>. Such Originator will not become a Sanctioned Person. Such Originator, either in its own right or through any third party, will not (a) have any of its assets in a Sanctioned Jurisdiction or in the possession, custody or control of a Sanctioned Person in violation of any Anti-Terrorism Law; (b) do business in or with, or derive any of its income from investments in or transactions with, any Sanctioned Jurisdiction or Sanctioned Person in violation of any Anti-Terrorism Law; (c) engage in any dealings or transactions prohibited by any Anti-Terrorism Law or (d) use the proceeds from the sale of the Receivables to fund any operations in, finance any investments or activities in, or, make any payments to, a Sanctioned Jurisdiction or Sanctioned Person in violation of any Anti-Terrorism Law. Such Originator shall comply with all Anti-Terrorism Laws. Such Originator shall promptly notify the Administrative Agent and each Purchaser in writing upon the occurrence of a Reportable Compliance Event.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(r) </w:t>
      </w:r>
      <w:r>
        <w:rPr>
          <w:rFonts w:ascii="Times New Roman" w:hAnsi="Times New Roman"/>
          <w:color w:val="000000"/>
          <w:sz w:val="24"/>
          <w:u w:val="single"/>
        </w:rPr>
        <w:t>Legend.</w:t>
      </w:r>
      <w:r>
        <w:rPr>
          <w:rFonts w:ascii="Times New Roman" w:hAnsi="Times New Roman"/>
          <w:color w:val="000000"/>
          <w:sz w:val="24"/>
        </w:rPr>
        <w:t xml:space="preserve"> Each Originator (or the Servicer on its behalf) shall have indicated on the most recent, and have taken all steps reasonably necessary to ensure that there shall be placed on each subsequent, data processing report that it generates which are of the type that a proposed purchaser or lender would use to evaluate the Receivables, that the Receivables and related Contracts have been sold in accordance with the Purchase and Sale Agreement and further sold by Seller pursuant to the Receivables Purchase Agreement, and none of the Originators or Servicer shall change or remove such notation without the consent of the Seller and the Administrative Agent.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 </w:t>
      </w:r>
      <w:r>
        <w:rPr>
          <w:rFonts w:ascii="Times New Roman" w:hAnsi="Times New Roman"/>
          <w:color w:val="000000"/>
          <w:sz w:val="24"/>
          <w:u w:val="single"/>
        </w:rPr>
        <w:t>Seller’s Tax Status</w:t>
      </w:r>
      <w:r>
        <w:rPr>
          <w:rFonts w:ascii="Times New Roman" w:hAnsi="Times New Roman"/>
          <w:color w:val="000000"/>
          <w:sz w:val="24"/>
        </w:rPr>
        <w:t>. The Servicer and each Originator shall ensure that the Seller will not become treated other than as a designated activity company limited by shares incorporated under the Companies Act 2014 of Ireland and a "qualifying company" for the purposes of Section 110 of the TCA which is resident for applicable Tax purposes solely in Ireland.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(t) </w:t>
      </w:r>
      <w:r>
        <w:rPr>
          <w:rFonts w:ascii="Times New Roman" w:hAnsi="Times New Roman"/>
          <w:color w:val="000000"/>
          <w:sz w:val="24"/>
          <w:u w:val="single"/>
        </w:rPr>
        <w:t>Insurance</w:t>
      </w:r>
      <w:r>
        <w:rPr>
          <w:rFonts w:ascii="Times New Roman" w:hAnsi="Times New Roman"/>
          <w:color w:val="000000"/>
          <w:sz w:val="24"/>
        </w:rPr>
        <w:t>. Such Originator will maintain in effect, at such Originator’s expense, such casualty and liability insurance as such Originator deems appropriate in its good faith business judgment.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(u) </w:t>
      </w:r>
      <w:r>
        <w:rPr>
          <w:rFonts w:ascii="Times New Roman" w:hAnsi="Times New Roman"/>
          <w:color w:val="000000"/>
          <w:sz w:val="24"/>
          <w:u w:val="single"/>
        </w:rPr>
        <w:t>Intercompany Loans, Etc</w:t>
      </w:r>
      <w:r>
        <w:rPr>
          <w:rFonts w:ascii="Times New Roman" w:hAnsi="Times New Roman"/>
          <w:color w:val="000000"/>
          <w:sz w:val="24"/>
        </w:rPr>
        <w:t>. Such Originator will not sell, assign (by operation of law or otherwise) or otherwise dispose of, or grant any option with respect to, or create or suffer to exist any Adverse Claim upon (including, without limitation, the filing of any financing statement) or with respect to, the Intercompany Loan Agreement.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(v) </w:t>
      </w:r>
      <w:r>
        <w:rPr>
          <w:rFonts w:ascii="Times New Roman" w:hAnsi="Times New Roman"/>
          <w:color w:val="000000"/>
          <w:sz w:val="24"/>
          <w:u w:val="single"/>
        </w:rPr>
        <w:t>Other Additional Information</w:t>
      </w:r>
      <w:r>
        <w:rPr>
          <w:rFonts w:ascii="Times New Roman" w:hAnsi="Times New Roman"/>
          <w:color w:val="000000"/>
          <w:sz w:val="24"/>
        </w:rPr>
        <w:t xml:space="preserve">. Such Originator will provide to the Administrative Agent and the Purchasers such information and documentation as may reasonably be requested by the Administrative Agent or any Purchaser from time to time for purposes of compliance by the Administrative Agent or such Purchaser with applicable laws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(including without limitation the PATRIOT Act and other “know your customer” and anti- money laundering rules and regulations), and any reasonable policy or procedure implemented by the Administrative Agent or such Purchaser to comply therewith.</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(w) </w:t>
      </w:r>
      <w:r>
        <w:rPr>
          <w:rFonts w:ascii="Times New Roman" w:hAnsi="Times New Roman"/>
          <w:color w:val="000000"/>
          <w:sz w:val="24"/>
          <w:u w:val="single"/>
        </w:rPr>
        <w:t>Employee Benefit Plans</w:t>
      </w:r>
      <w:r>
        <w:rPr>
          <w:rFonts w:ascii="Times New Roman" w:hAnsi="Times New Roman"/>
          <w:color w:val="000000"/>
          <w:sz w:val="24"/>
        </w:rPr>
        <w:t>. Each Originator shall: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maintain, and, if applicable, cause each of their respective ERISA Affiliates, to maintain, each Pension Plan and each Foreign Pension Plan in compliance with all applicable requirements of law, except where the failure to do so would not reasonably be expected to have, individually or in the aggregate, a Material Adverse Effect;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make, and cause each of their respective ERISA Affiliates to make, on a timely basis, all required contributions to any Multiemployer Plan, except where the failure to do so would not reasonably be expected to have, individually or in the aggregate, a Material Adverse Effect, and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(iii) not, and not permit any of their respective ERISA Affiliates to, (x) seek a waiver of the minimum funding standards of ERISA, (y) terminate or withdraw from any Pension Plan or Multiemployer Plan or (z) take any other action with respect to any Pension Plan that would reasonably be expected to entitle the PBGC to terminate, impose liability (other than timely payment of PBGC premiums) in respect of, or cause a trustee to be appointed to administer, any Pension Plan, unless the actions or events described in </w:t>
      </w:r>
      <w:r>
        <w:rPr>
          <w:rFonts w:ascii="Times New Roman" w:hAnsi="Times New Roman"/>
          <w:color w:val="000000"/>
          <w:sz w:val="24"/>
          <w:u w:val="single"/>
        </w:rPr>
        <w:t>clauses (x)</w:t>
      </w:r>
      <w:r>
        <w:rPr>
          <w:rFonts w:ascii="Times New Roman" w:hAnsi="Times New Roman"/>
          <w:color w:val="000000"/>
          <w:sz w:val="24"/>
        </w:rPr>
        <w:t xml:space="preserve">, </w:t>
      </w:r>
      <w:r>
        <w:rPr>
          <w:rFonts w:ascii="Times New Roman" w:hAnsi="Times New Roman"/>
          <w:color w:val="000000"/>
          <w:sz w:val="24"/>
          <w:u w:val="single"/>
        </w:rPr>
        <w:t>(y)</w:t>
      </w:r>
      <w:r>
        <w:rPr>
          <w:rFonts w:ascii="Times New Roman" w:hAnsi="Times New Roman"/>
          <w:color w:val="000000"/>
          <w:sz w:val="24"/>
        </w:rPr>
        <w:t xml:space="preserve"> and </w:t>
      </w:r>
      <w:r>
        <w:rPr>
          <w:rFonts w:ascii="Times New Roman" w:hAnsi="Times New Roman"/>
          <w:color w:val="000000"/>
          <w:sz w:val="24"/>
          <w:u w:val="single"/>
        </w:rPr>
        <w:t>(z)</w:t>
      </w:r>
      <w:r>
        <w:rPr>
          <w:rFonts w:ascii="Times New Roman" w:hAnsi="Times New Roman"/>
          <w:color w:val="000000"/>
          <w:sz w:val="24"/>
        </w:rPr>
        <w:t xml:space="preserve"> would not reasonably be expected to have, individually or in the aggregate, a Material Adverse Effect.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4"/>
        </w:rPr>
      </w:pPr>
      <w:r>
        <w:rPr>
          <w:rFonts w:ascii="Times New Roman" w:hAnsi="Times New Roman"/>
          <w:color w:val="000000"/>
          <w:sz w:val="24"/>
        </w:rPr>
        <w:t>SCHEDULE 5</w:t>
      </w:r>
    </w:p>
    <w:p>
      <w:pPr>
        <w:pStyle w:val="Heading1"/>
        <w:bidi w:val="0"/>
        <w:jc w:val="center"/>
        <w:rPr>
          <w:rFonts w:ascii="Times New Roman" w:hAnsi="Times New Roman"/>
          <w:color w:val="000000"/>
          <w:sz w:val="24"/>
        </w:rPr>
      </w:pPr>
      <w:r>
        <w:rPr>
          <w:rFonts w:ascii="Times New Roman" w:hAnsi="Times New Roman"/>
          <w:color w:val="000000"/>
          <w:sz w:val="24"/>
        </w:rPr>
        <w:t>INDEMNITIES</w:t>
      </w:r>
    </w:p>
    <w:p>
      <w:pPr>
        <w:pStyle w:val="Heading2"/>
        <w:bidi w:val="0"/>
        <w:spacing w:before="240" w:after="283"/>
        <w:jc w:val="center"/>
        <w:rPr>
          <w:rFonts w:ascii="Times New Roman" w:hAnsi="Times New Roman"/>
          <w:color w:val="000000"/>
          <w:sz w:val="24"/>
        </w:rPr>
      </w:pPr>
      <w:r>
        <w:rPr>
          <w:rFonts w:ascii="Times New Roman" w:hAnsi="Times New Roman"/>
          <w:color w:val="000000"/>
          <w:sz w:val="24"/>
        </w:rPr>
        <w:t>Part 1</w:t>
      </w:r>
    </w:p>
    <w:p>
      <w:pPr>
        <w:pStyle w:val="Heading2"/>
        <w:bidi w:val="0"/>
        <w:jc w:val="center"/>
        <w:rPr>
          <w:rFonts w:ascii="Times New Roman" w:hAnsi="Times New Roman"/>
          <w:color w:val="000000"/>
          <w:sz w:val="24"/>
        </w:rPr>
      </w:pPr>
      <w:r>
        <w:rPr>
          <w:rFonts w:ascii="Times New Roman" w:hAnsi="Times New Roman"/>
          <w:color w:val="000000"/>
          <w:sz w:val="24"/>
        </w:rPr>
        <w:t>Indemnification by the Seller</w:t>
      </w:r>
    </w:p>
    <w:p>
      <w:pPr>
        <w:pStyle w:val="TextBody"/>
        <w:bidi w:val="0"/>
        <w:spacing w:before="240" w:after="283"/>
        <w:jc w:val="both"/>
        <w:rPr>
          <w:rFonts w:ascii="Times New Roman" w:hAnsi="Times New Roman"/>
          <w:sz w:val="24"/>
        </w:rPr>
      </w:pPr>
      <w:r>
        <w:rPr>
          <w:rFonts w:ascii="Times New Roman" w:hAnsi="Times New Roman"/>
          <w:color w:val="000000"/>
          <w:sz w:val="24"/>
        </w:rPr>
        <w:t>(a) Without limiting any other rights that the Administrative Agent, the Purchaser Parties, the Affected Persons and their respective assigns, officers, directors, agents and employees (each, a “</w:t>
      </w:r>
      <w:r>
        <w:rPr>
          <w:rFonts w:ascii="Times New Roman" w:hAnsi="Times New Roman"/>
          <w:color w:val="000000"/>
          <w:sz w:val="24"/>
          <w:u w:val="single"/>
        </w:rPr>
        <w:t>Seller Indemnified Party</w:t>
      </w:r>
      <w:r>
        <w:rPr>
          <w:rFonts w:ascii="Times New Roman" w:hAnsi="Times New Roman"/>
          <w:color w:val="000000"/>
          <w:sz w:val="24"/>
        </w:rPr>
        <w:t>”) may have hereunder or under Applicable Law, the Seller hereby agrees to indemnify each Seller Indemnified Party from and against any and all claims, losses and liabilities (including Attorney Costs) (all of the foregoing being collectively referred to as “</w:t>
      </w:r>
      <w:r>
        <w:rPr>
          <w:rFonts w:ascii="Times New Roman" w:hAnsi="Times New Roman"/>
          <w:color w:val="000000"/>
          <w:sz w:val="24"/>
          <w:u w:val="single"/>
        </w:rPr>
        <w:t>Seller Indemnified Amounts</w:t>
      </w:r>
      <w:r>
        <w:rPr>
          <w:rFonts w:ascii="Times New Roman" w:hAnsi="Times New Roman"/>
          <w:color w:val="000000"/>
          <w:sz w:val="24"/>
        </w:rPr>
        <w:t xml:space="preserve">”) arising out of or resulting from this Agreement or any other Transaction Document or the use of proceeds of the Investments or the security interest in respect of any Pool Receivable or any other Sold Assets or Seller Collateral; </w:t>
      </w:r>
      <w:r>
        <w:rPr>
          <w:rFonts w:ascii="Times New Roman" w:hAnsi="Times New Roman"/>
          <w:color w:val="000000"/>
          <w:sz w:val="24"/>
          <w:u w:val="single"/>
        </w:rPr>
        <w:t>excluding</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(a) Seller Indemnified Amounts to the extent a final non-appealable judgment of a court of competent jurisdiction holds that such Seller Indemnified Amounts resulted solely from the gross negligence or willful misconduct by the Seller Indemnified Party seeking indemnification and (b) Taxes that are covered by </w:t>
      </w:r>
      <w:r>
        <w:rPr>
          <w:rFonts w:ascii="Times New Roman" w:hAnsi="Times New Roman"/>
          <w:color w:val="000000"/>
          <w:sz w:val="24"/>
          <w:u w:val="single"/>
        </w:rPr>
        <w:t>Section 4.03</w:t>
      </w:r>
      <w:r>
        <w:rPr>
          <w:rFonts w:ascii="Times New Roman" w:hAnsi="Times New Roman"/>
          <w:color w:val="000000"/>
          <w:sz w:val="24"/>
        </w:rPr>
        <w:t xml:space="preserve"> of the Receivables Purchase Agreement (other than any Taxes enumerated below or any Taxes that represent losses, claims, damages, etc. arising from any non-Tax claim). Without limiting or being limited by the foregoing, the Seller shall pay on demand (it being understood that if any portion of such payment obligation is made from Collections, such payment will be made at the time and in the order of priority set forth in </w:t>
      </w:r>
      <w:r>
        <w:rPr>
          <w:rFonts w:ascii="Times New Roman" w:hAnsi="Times New Roman"/>
          <w:color w:val="000000"/>
          <w:sz w:val="24"/>
          <w:u w:val="single"/>
        </w:rPr>
        <w:t xml:space="preserve">Section 3.01 </w:t>
      </w:r>
      <w:r>
        <w:rPr>
          <w:rFonts w:ascii="Times New Roman" w:hAnsi="Times New Roman"/>
          <w:color w:val="000000"/>
          <w:sz w:val="24"/>
        </w:rPr>
        <w:t xml:space="preserve">of the Receivables Purchase Agreement), to each Seller Indemnified Party any and all amounts necessary to indemnify such Seller Indemnified Party from and against any and all Seller Indemnified Amounts relating to or resulting from any of the following (but excluding Seller Indemnified Amounts and Taxes described in </w:t>
      </w:r>
      <w:r>
        <w:rPr>
          <w:rFonts w:ascii="Times New Roman" w:hAnsi="Times New Roman"/>
          <w:color w:val="000000"/>
          <w:sz w:val="24"/>
          <w:u w:val="single"/>
        </w:rPr>
        <w:t>clauses (a)</w:t>
      </w:r>
      <w:r>
        <w:rPr>
          <w:rFonts w:ascii="Times New Roman" w:hAnsi="Times New Roman"/>
          <w:color w:val="000000"/>
          <w:sz w:val="24"/>
        </w:rPr>
        <w:t xml:space="preserve"> and </w:t>
      </w:r>
      <w:r>
        <w:rPr>
          <w:rFonts w:ascii="Times New Roman" w:hAnsi="Times New Roman"/>
          <w:color w:val="000000"/>
          <w:sz w:val="24"/>
          <w:u w:val="single"/>
        </w:rPr>
        <w:t>(b)</w:t>
      </w:r>
      <w:r>
        <w:rPr>
          <w:rFonts w:ascii="Times New Roman" w:hAnsi="Times New Roman"/>
          <w:color w:val="000000"/>
          <w:sz w:val="24"/>
        </w:rPr>
        <w:t xml:space="preserve"> above):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any Pool Receivable which the Seller or the Servicer includes as an Eligible Receivable as part of the Net Receivables Pool Balance but which is not an Eligible Receivable at such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any representation, warranty or statement made or deemed made by the Seller (or any of its respective officers) under or in connection with this Agreement, any of the other Transaction Documents, any Information Package, any Weekly Report or any other information or report delivered by or on behalf of the Seller pursuant hereto which shall have been untrue or incorrect when made or deemed made;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the failure by the Seller to comply with any Applicable Law with respect to any Pool Receivable or the related Contract; or the failure of any Pool Receivable or the related Contract to conform to any such Applicable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 the failure to vest in the Administrative Agent a first priority ownership or security interest in all or any portion of the Sold Assets or Seller Collateral, in each case free and clear of any Adverse Claim;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 the failure to have filed, or any delay in filing, financing statements, financing statement amendments, continuation statements or other similar instruments or documents of any applicable jurisdiction or other Applicable Laws with respect to any Pool Receivable, any other Sold Assets or any Seller Collateral, whether at the time of any Investment or at any subsequent time;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 any dispute, claim or defense (other than discharge in bankruptcy) of an Obligor to the payment of any Pool Receivable (including, without limitation, a defense based on such Pool Receivable or the related Contract not being a legal, valid and binding obligation of such Obligor enforceable against it in accordance with its terms), or any other claim resulting from or relating to collection activities with respect to such Pool Receivable;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(vii) any failure of the Seller to perform any of its duties or obligations in accordance with the provisions hereof and of each other Transaction Document related to Pool Receivables or to timely and fully comply with the Credit and Collection Policy in regard to each Pool Receivable;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(viii) any products liability, environmental or other claim arising out of or in connection with any Pool Receivable or other merchandise, goods or services which are the subject of or related to any Pool Receivable;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(ix) the commingling of Collections of Pool Receivables at any time with other funds (other than where such commingling had been agreed by the Administrative Agent in writing);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 any investigation, litigation or proceeding (actual or threatened) related to this Agreement or any other Transaction Document or the use of proceeds of any Investment or in respect of any Pool Receivable, any other Sold Assets or any Seller Collateral or any related Contract;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(xi) any failure of the Seller to comply with its covenants, obligations and agreements contained in this Agreement or any other Transaction Document;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(xii) any setoff with respect to any Pool Receivable;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(xiii) any claim brought by any Person other than a Seller Indemnified Party arising from any activity by the Seller or any Affiliate of the Seller in servicing, administering or collecting any Pool Receivable;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(xiv) the failure by the Seller to pay when due any Taxes, including, without limitation, sales, excise or personal property taxes;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(xv) any failure of a Collection Account Bank to comply with the terms of the relevant Collection Account Declaration of Trust and/or the relevant Collection Account Pledge Agreement, the termination by a Collection Account Bank of any amounts (including in respect of any indemnity) payable by the Administrative Agent to a Collection Account Bank under the relevant Collection Account Declaration of Trust and/or the relevant Collection Account Pledge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(xvi) any dispute, claim, offset or defense (other than discharge in bankruptcy of the Obligor) of the Obligor to the payment of any Pool Receivable (including, without limitation, a defense based on such Pool Receivable or the related Contract not being a legal, valid and binding obligation of such Obligor enforceable against it in accordance with its terms), or any other claim resulting from the sale of goods or the rendering of services related to such Pool Receivable or the furnishing or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failure to furnish any such goods or services or other similar claim or defense not arising from the financial inability of any Obligor to pay undisputed indebtedness;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(xvii) any action taken by the Administrative Agent as attorney for the Seller, any Originator or the Servicer pursuant to this Agreement or any other Transaction Document;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(xviii) the failure of delay to provide any Obligor with an invoice or other evidence of indebtedness;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(xix) the use of proceeds of any Investment;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(xx) any reduction in Capital as a result of the distribution of Collections if all or a portion of such distributions shall thereafter be rescinded or otherwise must be returned for any reason;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(xxi) any loss or shortfall in Capital due to the conversion or exchange of Collections or other funds in any currency to the applicable currency required pursuant to the terms of the Transaction Documents in connection with any distribution hereunder as a result of any change or fluctuation in the applicable exchange rate.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Notwithstanding anything to the contrary in this Agreement, solely for purposes of the Seller’s indemnification obligations in </w:t>
      </w:r>
      <w:r>
        <w:rPr>
          <w:rFonts w:ascii="Times New Roman" w:hAnsi="Times New Roman"/>
          <w:color w:val="000000"/>
          <w:sz w:val="24"/>
          <w:u w:val="single"/>
        </w:rPr>
        <w:t>clauses (ii)</w:t>
      </w:r>
      <w:r>
        <w:rPr>
          <w:rFonts w:ascii="Times New Roman" w:hAnsi="Times New Roman"/>
          <w:color w:val="000000"/>
          <w:sz w:val="24"/>
        </w:rPr>
        <w:t xml:space="preserve">, </w:t>
      </w:r>
      <w:r>
        <w:rPr>
          <w:rFonts w:ascii="Times New Roman" w:hAnsi="Times New Roman"/>
          <w:color w:val="000000"/>
          <w:sz w:val="24"/>
          <w:u w:val="single"/>
        </w:rPr>
        <w:t>(iii)</w:t>
      </w:r>
      <w:r>
        <w:rPr>
          <w:rFonts w:ascii="Times New Roman" w:hAnsi="Times New Roman"/>
          <w:color w:val="000000"/>
          <w:sz w:val="24"/>
        </w:rPr>
        <w:t xml:space="preserve">, </w:t>
      </w:r>
      <w:r>
        <w:rPr>
          <w:rFonts w:ascii="Times New Roman" w:hAnsi="Times New Roman"/>
          <w:color w:val="000000"/>
          <w:sz w:val="24"/>
          <w:u w:val="single"/>
        </w:rPr>
        <w:t>(vii)</w:t>
      </w:r>
      <w:r>
        <w:rPr>
          <w:rFonts w:ascii="Times New Roman" w:hAnsi="Times New Roman"/>
          <w:color w:val="000000"/>
          <w:sz w:val="24"/>
        </w:rPr>
        <w:t xml:space="preserve"> and </w:t>
      </w:r>
      <w:r>
        <w:rPr>
          <w:rFonts w:ascii="Times New Roman" w:hAnsi="Times New Roman"/>
          <w:color w:val="000000"/>
          <w:sz w:val="24"/>
          <w:u w:val="single"/>
        </w:rPr>
        <w:t>(xi)</w:t>
      </w:r>
      <w:r>
        <w:rPr>
          <w:rFonts w:ascii="Times New Roman" w:hAnsi="Times New Roman"/>
          <w:color w:val="000000"/>
          <w:sz w:val="24"/>
        </w:rPr>
        <w:t xml:space="preserve"> of this </w:t>
      </w:r>
      <w:r>
        <w:rPr>
          <w:rFonts w:ascii="Times New Roman" w:hAnsi="Times New Roman"/>
          <w:color w:val="000000"/>
          <w:sz w:val="24"/>
          <w:u w:val="single"/>
        </w:rPr>
        <w:t>paragraph (a)</w:t>
      </w:r>
      <w:r>
        <w:rPr>
          <w:rFonts w:ascii="Times New Roman" w:hAnsi="Times New Roman"/>
          <w:color w:val="000000"/>
          <w:sz w:val="24"/>
        </w:rPr>
        <w:t>, any representation, warranty or covenant qualified by the occurrence or non-occurrence of a material adverse effect or similar concepts of materiality shall be deemed to be not so qualified.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If for any reason the foregoing indemnification is unavailable to any Seller Indemnified Party or insufficient to hold it harmless, then the Seller shall contribute to such Seller Indemnified Party the amount paid or payable by such Seller Indemnified Party as a result of such loss, claim, damage or liability in such proportion as is appropriate to reflect the relative economic interests of the Seller and its Affiliates on the one hand and such Seller Indemnified Party on the other hand in the matters contemplated by the Transaction Documents as well as the relative fault of the Seller and its Affiliates and such Seller Indemnified Party with respect to such loss, claim, damage or liability and any other relevant equitable considerations. The reimbursement, indemnity and contribution obligations of the Seller under this Section shall be in addition to any liability which the Seller may otherwise have, shall extend upon the same terms and conditions to each Seller Indemnified Party, and shall be binding upon and inure to the benefit of any successors, assigns, heirs and personal representatives of the Seller and the Seller Indemnified Parties.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 Any indemnification or contribution under this schedule shall survive the termination of this Agreement and/or any other Transaction Document.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center"/>
        <w:rPr>
          <w:rFonts w:ascii="Times New Roman" w:hAnsi="Times New Roman"/>
          <w:color w:val="000000"/>
          <w:sz w:val="24"/>
        </w:rPr>
      </w:pPr>
      <w:r>
        <w:rPr>
          <w:rFonts w:ascii="Times New Roman" w:hAnsi="Times New Roman"/>
          <w:color w:val="000000"/>
          <w:sz w:val="24"/>
        </w:rPr>
        <w:t>Part 2</w:t>
      </w:r>
    </w:p>
    <w:p>
      <w:pPr>
        <w:pStyle w:val="TextBody"/>
        <w:bidi w:val="0"/>
        <w:jc w:val="center"/>
        <w:rPr>
          <w:rFonts w:ascii="Times New Roman" w:hAnsi="Times New Roman"/>
          <w:sz w:val="24"/>
        </w:rPr>
      </w:pPr>
      <w:r>
        <w:rPr>
          <w:rFonts w:ascii="Times New Roman" w:hAnsi="Times New Roman"/>
          <w:b/>
          <w:color w:val="000000"/>
          <w:sz w:val="24"/>
        </w:rPr>
        <w:t>Indemnification</w:t>
      </w:r>
      <w:r>
        <w:rPr>
          <w:rFonts w:ascii="Times New Roman" w:hAnsi="Times New Roman"/>
          <w:color w:val="000000"/>
          <w:sz w:val="24"/>
        </w:rPr>
        <w:t xml:space="preserve"> </w:t>
      </w:r>
      <w:r>
        <w:rPr>
          <w:rFonts w:ascii="Times New Roman" w:hAnsi="Times New Roman"/>
          <w:b/>
          <w:color w:val="000000"/>
          <w:sz w:val="24"/>
        </w:rPr>
        <w:t>by</w:t>
      </w:r>
      <w:r>
        <w:rPr>
          <w:rFonts w:ascii="Times New Roman" w:hAnsi="Times New Roman"/>
          <w:color w:val="000000"/>
          <w:sz w:val="24"/>
        </w:rPr>
        <w:t xml:space="preserve"> </w:t>
      </w:r>
      <w:r>
        <w:rPr>
          <w:rFonts w:ascii="Times New Roman" w:hAnsi="Times New Roman"/>
          <w:b/>
          <w:color w:val="000000"/>
          <w:sz w:val="24"/>
        </w:rPr>
        <w:t>the</w:t>
      </w:r>
      <w:r>
        <w:rPr>
          <w:rFonts w:ascii="Times New Roman" w:hAnsi="Times New Roman"/>
          <w:color w:val="000000"/>
          <w:sz w:val="24"/>
        </w:rPr>
        <w:t xml:space="preserve"> </w:t>
      </w:r>
      <w:r>
        <w:rPr>
          <w:rFonts w:ascii="Times New Roman" w:hAnsi="Times New Roman"/>
          <w:b/>
          <w:color w:val="000000"/>
          <w:sz w:val="24"/>
        </w:rPr>
        <w:t>Servicer</w:t>
      </w:r>
      <w:r>
        <w:rPr>
          <w:rFonts w:ascii="Times New Roman" w:hAnsi="Times New Roman"/>
          <w:color w:val="000000"/>
          <w:sz w:val="24"/>
        </w:rPr>
        <w:t xml:space="preserve"> </w:t>
      </w:r>
      <w:r>
        <w:rPr>
          <w:rFonts w:ascii="Times New Roman" w:hAnsi="Times New Roman"/>
          <w:b/>
          <w:color w:val="000000"/>
          <w:sz w:val="24"/>
        </w:rPr>
        <w:t>and</w:t>
      </w:r>
      <w:r>
        <w:rPr>
          <w:rFonts w:ascii="Times New Roman" w:hAnsi="Times New Roman"/>
          <w:color w:val="000000"/>
          <w:sz w:val="24"/>
        </w:rPr>
        <w:t xml:space="preserve"> </w:t>
      </w:r>
      <w:r>
        <w:rPr>
          <w:rFonts w:ascii="Times New Roman" w:hAnsi="Times New Roman"/>
          <w:b/>
          <w:color w:val="000000"/>
          <w:sz w:val="24"/>
        </w:rPr>
        <w:t>the</w:t>
      </w:r>
      <w:r>
        <w:rPr>
          <w:rFonts w:ascii="Times New Roman" w:hAnsi="Times New Roman"/>
          <w:color w:val="000000"/>
          <w:sz w:val="24"/>
        </w:rPr>
        <w:t xml:space="preserve"> </w:t>
      </w:r>
      <w:r>
        <w:rPr>
          <w:rFonts w:ascii="Times New Roman" w:hAnsi="Times New Roman"/>
          <w:b/>
          <w:color w:val="000000"/>
          <w:sz w:val="24"/>
        </w:rPr>
        <w:t>Ashland</w:t>
      </w:r>
      <w:r>
        <w:rPr>
          <w:rFonts w:ascii="Times New Roman" w:hAnsi="Times New Roman"/>
          <w:color w:val="000000"/>
          <w:sz w:val="24"/>
        </w:rPr>
        <w:t xml:space="preserve"> </w:t>
      </w:r>
      <w:r>
        <w:rPr>
          <w:rFonts w:ascii="Times New Roman" w:hAnsi="Times New Roman"/>
          <w:b/>
          <w:color w:val="000000"/>
          <w:sz w:val="24"/>
        </w:rPr>
        <w:t>Sub-Servicers</w:t>
      </w:r>
    </w:p>
    <w:p>
      <w:pPr>
        <w:pStyle w:val="TextBody"/>
        <w:bidi w:val="0"/>
        <w:spacing w:before="240" w:after="283"/>
        <w:jc w:val="both"/>
        <w:rPr>
          <w:rFonts w:ascii="Times New Roman" w:hAnsi="Times New Roman"/>
          <w:sz w:val="24"/>
        </w:rPr>
      </w:pPr>
      <w:r>
        <w:rPr>
          <w:rFonts w:ascii="Times New Roman" w:hAnsi="Times New Roman"/>
          <w:color w:val="000000"/>
          <w:sz w:val="24"/>
        </w:rPr>
        <w:t>(a) The Servicer and each Ashland Sub-Servicer hereby agrees to indemnify and hold harmless the Seller, the Administrative Agent, the Purchaser Parties, the Affected Persons and their respective assigns, officers, directors, agents and employees (each, a “</w:t>
      </w:r>
      <w:r>
        <w:rPr>
          <w:rFonts w:ascii="Times New Roman" w:hAnsi="Times New Roman"/>
          <w:color w:val="000000"/>
          <w:sz w:val="24"/>
          <w:u w:val="single"/>
        </w:rPr>
        <w:t>Servicer Indemnified Party</w:t>
      </w:r>
      <w:r>
        <w:rPr>
          <w:rFonts w:ascii="Times New Roman" w:hAnsi="Times New Roman"/>
          <w:color w:val="000000"/>
          <w:sz w:val="24"/>
        </w:rPr>
        <w:t>”), from and against any loss, liability, expense, damage or injury suffered or sustained by reason of any acts, omissions or alleged acts or omissions arising out of activities of the Servicer pursuant to this Agreement or any other Transaction Document, including any judgment, award, settlement, Attorney Costs and other costs or expenses incurred in connection with the defense of any actual or threatened action, proceeding or claim (all of the foregoing being collectively referred to as, “</w:t>
      </w:r>
      <w:r>
        <w:rPr>
          <w:rFonts w:ascii="Times New Roman" w:hAnsi="Times New Roman"/>
          <w:color w:val="000000"/>
          <w:sz w:val="24"/>
          <w:u w:val="single"/>
        </w:rPr>
        <w:t>Servicer Indemnified Amounts</w:t>
      </w:r>
      <w:r>
        <w:rPr>
          <w:rFonts w:ascii="Times New Roman" w:hAnsi="Times New Roman"/>
          <w:color w:val="000000"/>
          <w:sz w:val="24"/>
        </w:rPr>
        <w:t xml:space="preserve">”); excluding (i) Servicer Indemnified Amounts to the extent a final non-appealable judgment of a court of competent jurisdiction holds that such Servicer Indemnified Amounts resulted solely from the gross negligence or willful misconduct by the Servicer Indemnified Party seeking indemnification, (ii) Taxes that are covered by </w:t>
      </w:r>
      <w:r>
        <w:rPr>
          <w:rFonts w:ascii="Times New Roman" w:hAnsi="Times New Roman"/>
          <w:color w:val="000000"/>
          <w:sz w:val="24"/>
          <w:u w:val="single"/>
        </w:rPr>
        <w:t>Section 4.03</w:t>
      </w:r>
      <w:r>
        <w:rPr>
          <w:rFonts w:ascii="Times New Roman" w:hAnsi="Times New Roman"/>
          <w:color w:val="000000"/>
          <w:sz w:val="24"/>
        </w:rPr>
        <w:t xml:space="preserve"> of the Receivables Purchase Agreement (other than any Taxes enumerated below or any Taxes that represent losses, claims, damages, etc. arising from any non-Tax claim) and (iii) Servicer Indemnified Amounts to the extent the same includes losses in respect of Pool Receivables that are uncollectible solely on account of the insolvency, bankruptcy, lack of creditworthiness or other financial inability to pay of the related Obligor. Without limiting or being limited by the foregoing, the Servicer shall pay on demand, to each Servicer Indemnified Party any and all amounts necessary to indemnify such Servicer Indemnified Party from and against any and all Servicer Indemnified Amounts relating to or resulting from any of the following (but excluding Servicer Indemnified Amounts described in </w:t>
      </w:r>
      <w:r>
        <w:rPr>
          <w:rFonts w:ascii="Times New Roman" w:hAnsi="Times New Roman"/>
          <w:color w:val="000000"/>
          <w:sz w:val="24"/>
          <w:u w:val="single"/>
        </w:rPr>
        <w:t>clauses (i)</w:t>
      </w:r>
      <w:r>
        <w:rPr>
          <w:rFonts w:ascii="Times New Roman" w:hAnsi="Times New Roman"/>
          <w:color w:val="000000"/>
          <w:sz w:val="24"/>
        </w:rPr>
        <w:t xml:space="preserve">, </w:t>
      </w:r>
      <w:r>
        <w:rPr>
          <w:rFonts w:ascii="Times New Roman" w:hAnsi="Times New Roman"/>
          <w:color w:val="000000"/>
          <w:sz w:val="24"/>
          <w:u w:val="single"/>
        </w:rPr>
        <w:t>(ii)</w:t>
      </w:r>
      <w:r>
        <w:rPr>
          <w:rFonts w:ascii="Times New Roman" w:hAnsi="Times New Roman"/>
          <w:color w:val="000000"/>
          <w:sz w:val="24"/>
        </w:rPr>
        <w:t xml:space="preserve"> and </w:t>
      </w:r>
      <w:r>
        <w:rPr>
          <w:rFonts w:ascii="Times New Roman" w:hAnsi="Times New Roman"/>
          <w:color w:val="000000"/>
          <w:sz w:val="24"/>
          <w:u w:val="single"/>
        </w:rPr>
        <w:t>(iii)</w:t>
      </w:r>
      <w:r>
        <w:rPr>
          <w:rFonts w:ascii="Times New Roman" w:hAnsi="Times New Roman"/>
          <w:color w:val="000000"/>
          <w:sz w:val="24"/>
        </w:rPr>
        <w:t xml:space="preserve"> above):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any representation, warranty or statement made or deemed made by the Servicer or any Ashland Sub-Servicer (or any of its respective officers) under or in connection with this Agreement, any of the other Transaction Documents, any Information Package, any Weekly Report or any other information or report delivered by or on behalf of the Servicer or any Ashland Sub-Servicer pursuant hereto or any other Transaction Document which shall have been untrue or incorrect when made or deemed made;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the failure by the Servicer or any Ashland Sub-Servicer to comply with any Applicable Law with respect to any Pool Receivable or the related Contract; or the failure of any Pool Receivable or the related Contract to conform to any such Applicable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the commingling of Collections of Pool Receivables at any time with other funds (other than where such commingling had been agreed by the Administrative Agent in writing);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 the termination by a Collection Account Bank of the relevant Collection Account Declaration of Trust and/or the relevant Collection Account Pledge Agreement or any amounts (including in respect of any indemnity) payable by the Administrative Agent to a Collection Account Bank under the relevant Collection Account Declaration of Trust and/or the relevant Collection Account Pledge Agreement;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 the failure or delay to provide any Obligor with an invoice or other evidence of indebtedness;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 any failure of the Servicer or any Ashland Sub-Servicer to comply with its covenants, obligations and agreements contained in this Agreement or any other Transaction Document; or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(vii) any liability described in </w:t>
      </w:r>
      <w:r>
        <w:rPr>
          <w:rFonts w:ascii="Times New Roman" w:hAnsi="Times New Roman"/>
          <w:color w:val="000000"/>
          <w:sz w:val="24"/>
          <w:u w:val="single"/>
        </w:rPr>
        <w:t>Section 4.03</w:t>
      </w:r>
      <w:r>
        <w:rPr>
          <w:rFonts w:ascii="Times New Roman" w:hAnsi="Times New Roman"/>
          <w:color w:val="000000"/>
          <w:sz w:val="24"/>
        </w:rPr>
        <w:t xml:space="preserve"> of the Receivables Purchase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If for any reason the foregoing indemnification is unavailable to any Servicer Indemnified Party or insufficient to hold it harmless, then the Servicer and/or any applicable Ashland Sub-Servicer shall contribute to the amount paid or payable by such Servicer Indemnified Party as a result of such loss, claim, damage or liability in such proportion as is appropriate to reflect the relative economic interests of the Servicer, any Ashland Sub-Servicer and its Affiliates on the one hand and such Servicer Indemnified Party on the other hand in the matters contemplated by the Transaction Documents as well as the relative fault of the Servicer (and/or the Ashland Sub-Servicer) and its Affiliates and such Servicer Indemnified Party with respect to such loss, claim, damage or liability and any other relevant equitable considerations. The reimbursement, indemnity and contribution obligations of the Servicer and each Ashland Sub-Servicer under this Section shall be in addition to any liability which the Servicer and each Ashland Sub-Servicer may otherwise have, shall extend upon the same terms and conditions to Servicer Indemnified Party, and shall be binding upon and inure to the benefit of any successors, assigns, heirs and personal representatives of the Servicer, each Ashland Sub-Servicer and the Servicer Indemnified Parties.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Any indemnification or contribution under this Section shall survive the termination of this Agreement and/or any other Transaction Document.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 Limitations for Swiss Sub-Servicer</w:t>
      </w:r>
    </w:p>
    <w:p>
      <w:pPr>
        <w:pStyle w:val="TextBody"/>
        <w:bidi w:val="0"/>
        <w:spacing w:before="240" w:after="283"/>
        <w:jc w:val="both"/>
        <w:rPr>
          <w:rFonts w:ascii="Times New Roman" w:hAnsi="Times New Roman"/>
          <w:sz w:val="24"/>
        </w:rPr>
      </w:pPr>
      <w:r>
        <w:rPr>
          <w:rFonts w:ascii="Times New Roman" w:hAnsi="Times New Roman"/>
          <w:color w:val="000000"/>
          <w:sz w:val="24"/>
        </w:rPr>
        <w:t>(i) If and to the extent that (i) the Swiss Sub-Servicer under a Transaction Document guarantees, indemnifies or secures obligations other than obligations of one of its direct or indirect subsidiaries (i.e. obligations of the Swiss Sub-Servicer’s direct or indirect parent companies (up-stream liabilities) or sister companies (cross-stream liabilities)); and (ii) any payment in fulfilling such obligations would, under Swiss law and practice, constitute a repayment of capital (</w:t>
      </w:r>
      <w:r>
        <w:rPr>
          <w:rFonts w:ascii="Times New Roman" w:hAnsi="Times New Roman"/>
          <w:i/>
          <w:color w:val="000000"/>
          <w:sz w:val="24"/>
        </w:rPr>
        <w:t>Einlagerückgewähr</w:t>
      </w:r>
      <w:r>
        <w:rPr>
          <w:rFonts w:ascii="Times New Roman" w:hAnsi="Times New Roman"/>
          <w:color w:val="000000"/>
          <w:sz w:val="24"/>
        </w:rPr>
        <w:t>), a violation of the legally protected reserves (</w:t>
      </w:r>
      <w:r>
        <w:rPr>
          <w:rFonts w:ascii="Times New Roman" w:hAnsi="Times New Roman"/>
          <w:i/>
          <w:color w:val="000000"/>
          <w:sz w:val="24"/>
        </w:rPr>
        <w:t>gesetzlich geschützte Reserven</w:t>
      </w:r>
      <w:r>
        <w:rPr>
          <w:rFonts w:ascii="Times New Roman" w:hAnsi="Times New Roman"/>
          <w:color w:val="000000"/>
          <w:sz w:val="24"/>
        </w:rPr>
        <w:t>) or the payment of a (constructive) dividend (</w:t>
      </w:r>
      <w:r>
        <w:rPr>
          <w:rFonts w:ascii="Times New Roman" w:hAnsi="Times New Roman"/>
          <w:i/>
          <w:color w:val="000000"/>
          <w:sz w:val="24"/>
        </w:rPr>
        <w:t>Gewinnausschüttung</w:t>
      </w:r>
      <w:r>
        <w:rPr>
          <w:rFonts w:ascii="Times New Roman" w:hAnsi="Times New Roman"/>
          <w:color w:val="000000"/>
          <w:sz w:val="24"/>
        </w:rPr>
        <w:t>) by the Swiss Sub-Servicer or would otherwise be restricted under Swiss corporate law, (the “</w:t>
      </w:r>
      <w:r>
        <w:rPr>
          <w:rFonts w:ascii="Times New Roman" w:hAnsi="Times New Roman"/>
          <w:color w:val="000000"/>
          <w:sz w:val="24"/>
          <w:u w:val="single"/>
        </w:rPr>
        <w:t>Restricted</w:t>
      </w:r>
      <w:r>
        <w:rPr>
          <w:rFonts w:ascii="Times New Roman" w:hAnsi="Times New Roman"/>
          <w:color w:val="000000"/>
          <w:sz w:val="24"/>
        </w:rPr>
        <w:t xml:space="preserve"> </w:t>
      </w:r>
      <w:r>
        <w:rPr>
          <w:rFonts w:ascii="Times New Roman" w:hAnsi="Times New Roman"/>
          <w:color w:val="000000"/>
          <w:sz w:val="24"/>
          <w:u w:val="single"/>
        </w:rPr>
        <w:t>Obligations</w:t>
      </w:r>
      <w:r>
        <w:rPr>
          <w:rFonts w:ascii="Times New Roman" w:hAnsi="Times New Roman"/>
          <w:color w:val="000000"/>
          <w:sz w:val="24"/>
        </w:rPr>
        <w:t>”), such Restricted Obligations (and the amount of any payment in relation thereto) shall from time to time be limited to the amount permitted to be paid under Swiss law and practice, provided that, such limited amount shall at no time be less than the profits and reserves of the Swiss Sub-Servicer available for distribution as dividends at the time or times payment under a Transaction Document is requested from the Swiss Sub-Servicer (the “</w:t>
      </w:r>
      <w:r>
        <w:rPr>
          <w:rFonts w:ascii="Times New Roman" w:hAnsi="Times New Roman"/>
          <w:color w:val="000000"/>
          <w:sz w:val="24"/>
          <w:u w:val="single"/>
        </w:rPr>
        <w:t>Maximum Amount</w:t>
      </w:r>
      <w:r>
        <w:rPr>
          <w:rFonts w:ascii="Times New Roman" w:hAnsi="Times New Roman"/>
          <w:color w:val="000000"/>
          <w:sz w:val="24"/>
        </w:rPr>
        <w:t>”) and further provided that such limitation (as may apply from time to time or not) shall not (generally or definitively) free the Swiss Sub-Servicer from payment obligations hereunder in excess thereof, but merely postpone the payment date therefore until such times as payment is again permitted notwithstanding such limitation. Any and all indemnities, guarantees and security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interests of the Swiss Sub-Servicer contained in any Transaction Documents shall be construed in a manner consistent with the provisions herein contained.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If the Swiss Sub-Servicer is required by applicable law in force at the relevant time to withhold Swiss Withholding Tax on a payment in respect of Restricted Obligations, the Swiss Sub-Servicer shall: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use best efforts to make such payment without deduction of Swiss Withholding Tax or to reduce the rate of Swiss Withholding Tax required to be deducted by discharging the liability to such tax by notification pursuant to applicable law (including double tax treaties) rather than payment of the tax;</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if the notification procedure pursuant to sub-paragraph (A) above does not apply, deduct Swiss Withholding Tax at the rate of 35% (or such other rate as in force from time to time), or if the notification procedure pursuant to sub-paragraph (A) above applies for a part of the Swiss With-holding Tax only, deduct Swiss Withholding Tax at the reduced rate resulting after the discharge of part of such tax by notification under applicable law, from any payment made by it in respect of Restricted Obligations and promptly pay any such taxes to the Swiss Federal Tax Administration;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notify the Administrative Agent that such notification, or as the case may be, deduction has been made and provide the Administrative Agent with evidence that such notification of the Swiss Federal Tax Ad-ministration has been made or, as the case may be, such deducted taxes have been paid to the Swiss Federal Tax Administration;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 if and to the extent such a deduction is made, not be obliged to either gross-up payments or indemnify the Administrative Agent in relation to any such payment made by it in respect of Restricted Obligations unless grossing-up or indemnifying is permitted under the laws of Switzerland then in force but always subject to the limitations set out in paragraph (d)(i) above and (d)(iii) below;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 use its best efforts to ensure that any person which is entitled to a full or partial refund of the Swiss Withholding Tax deducted from a payment in respect of Restricted Obligations, will, as soon as possible after the deduction of the Swiss Withholding Tax:</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 request a refund of the Swiss Withholding Tax under any applicable law (including double tax treaties);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(2) pay to the Administrative Agent, upon receipt, any amount so refunded for application as a further payment of the Swiss Sub-Servicer with respect to the Restricted Obligations. The Administrative Agent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shall reasonably cooperate with the Swiss Sub-Servicer to secure such refund.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To the extent the Swiss Sub-Servicer is required to deduct Swiss Withholding Tax pursuant to paragraph (d)(ii) above, and if the Maximum Amount pursuant to paragraph (d)(i) above is not fully utilised, the Swiss Sub-Servicer shall be required to pay an additional amount, so that, after making any deduction of Swiss Withholding Tax, the aggregate net amount paid to the Administrative Agent is equal to the amount which would have been paid if no deduction of Swiss Withholding Tax had been required, pro-vided that the aggregate amount paid (including the additional amount) shall in any event be limited to the Maximum Amount pursuant to paragraph (d)(i) above. If a refund of any amounts of Swiss Withholding Tax paid by the Swiss Sub-Servicer is made to the Ad-ministrative Agent, the Administrative Agent shall transfer the refund so received to the Swiss Sub-Servicer, subject to any right of set-off of the Administrative Agent pursuant to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 If performance of Restricted Obligations would be limited due to the effects referred to in paragraph (a) above, the Swiss Sub-Servicer shall promptly implement all such measures and promptly procure the fulfilment of all prerequisites to allow it to perform its obligations with a minimum of limitations, including the following: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preparation of an up-to-date balance sheet of the Swiss Sub-Servicer;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confirmation from the auditors of the Swiss Sub-Servicer that the relevant amount represents (the maximum of) freely distributable reserves;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revaluation of hidden reserves (to the extent permitted by mandatory Swiss law and applicable accounting standards);</w:t>
      </w:r>
    </w:p>
    <w:p>
      <w:pPr>
        <w:pStyle w:val="TextBody"/>
        <w:bidi w:val="0"/>
        <w:spacing w:before="240" w:after="283"/>
        <w:jc w:val="both"/>
        <w:rPr>
          <w:rFonts w:ascii="Times New Roman" w:hAnsi="Times New Roman"/>
          <w:sz w:val="24"/>
        </w:rPr>
      </w:pPr>
      <w:r>
        <w:rPr>
          <w:rFonts w:ascii="Times New Roman" w:hAnsi="Times New Roman"/>
          <w:color w:val="000000"/>
          <w:sz w:val="24"/>
        </w:rPr>
        <w:t>(D) to the extent permitted by applicable law and applicable accounting standards, (1) write-up or realise any of its assets that are shown in its balance sheet with a book value that is significantly lower than the market value of the assets, in case of realisation, however, only if such assets are not necessary for the Swiss Sub-Servicer's business (</w:t>
      </w:r>
      <w:r>
        <w:rPr>
          <w:rFonts w:ascii="Times New Roman" w:hAnsi="Times New Roman"/>
          <w:i/>
          <w:color w:val="000000"/>
          <w:sz w:val="24"/>
        </w:rPr>
        <w:t>nicht betriebsnot-wendig</w:t>
      </w:r>
      <w:r>
        <w:rPr>
          <w:rFonts w:ascii="Times New Roman" w:hAnsi="Times New Roman"/>
          <w:color w:val="000000"/>
          <w:sz w:val="24"/>
        </w:rPr>
        <w:t>) and/or (2) reduce its share capital;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 approval by a shareholders' meeting of the Swiss Sub-Servicer of the (resulting) profit distribution.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center"/>
        <w:rPr>
          <w:rFonts w:ascii="Times New Roman" w:hAnsi="Times New Roman"/>
          <w:color w:val="000000"/>
          <w:sz w:val="24"/>
        </w:rPr>
      </w:pPr>
      <w:r>
        <w:rPr>
          <w:rFonts w:ascii="Times New Roman" w:hAnsi="Times New Roman"/>
          <w:color w:val="000000"/>
          <w:sz w:val="24"/>
        </w:rPr>
        <w:t>Part 3</w:t>
      </w:r>
    </w:p>
    <w:p>
      <w:pPr>
        <w:pStyle w:val="TextBody"/>
        <w:bidi w:val="0"/>
        <w:jc w:val="center"/>
        <w:rPr>
          <w:rFonts w:ascii="Times New Roman" w:hAnsi="Times New Roman"/>
          <w:sz w:val="24"/>
        </w:rPr>
      </w:pPr>
      <w:r>
        <w:rPr>
          <w:rFonts w:ascii="Times New Roman" w:hAnsi="Times New Roman"/>
          <w:b/>
          <w:color w:val="000000"/>
          <w:sz w:val="24"/>
        </w:rPr>
        <w:t>Indemnification</w:t>
      </w:r>
      <w:r>
        <w:rPr>
          <w:rFonts w:ascii="Times New Roman" w:hAnsi="Times New Roman"/>
          <w:color w:val="000000"/>
          <w:sz w:val="24"/>
        </w:rPr>
        <w:t xml:space="preserve"> </w:t>
      </w:r>
      <w:r>
        <w:rPr>
          <w:rFonts w:ascii="Times New Roman" w:hAnsi="Times New Roman"/>
          <w:b/>
          <w:color w:val="000000"/>
          <w:sz w:val="24"/>
        </w:rPr>
        <w:t>by</w:t>
      </w:r>
      <w:r>
        <w:rPr>
          <w:rFonts w:ascii="Times New Roman" w:hAnsi="Times New Roman"/>
          <w:color w:val="000000"/>
          <w:sz w:val="24"/>
        </w:rPr>
        <w:t xml:space="preserve"> </w:t>
      </w:r>
      <w:r>
        <w:rPr>
          <w:rFonts w:ascii="Times New Roman" w:hAnsi="Times New Roman"/>
          <w:b/>
          <w:color w:val="000000"/>
          <w:sz w:val="24"/>
        </w:rPr>
        <w:t>the</w:t>
      </w:r>
      <w:r>
        <w:rPr>
          <w:rFonts w:ascii="Times New Roman" w:hAnsi="Times New Roman"/>
          <w:color w:val="000000"/>
          <w:sz w:val="24"/>
        </w:rPr>
        <w:t xml:space="preserve"> </w:t>
      </w:r>
      <w:r>
        <w:rPr>
          <w:rFonts w:ascii="Times New Roman" w:hAnsi="Times New Roman"/>
          <w:b/>
          <w:color w:val="000000"/>
          <w:sz w:val="24"/>
        </w:rPr>
        <w:t>Performance</w:t>
      </w:r>
      <w:r>
        <w:rPr>
          <w:rFonts w:ascii="Times New Roman" w:hAnsi="Times New Roman"/>
          <w:color w:val="000000"/>
          <w:sz w:val="24"/>
        </w:rPr>
        <w:t xml:space="preserve"> </w:t>
      </w:r>
      <w:r>
        <w:rPr>
          <w:rFonts w:ascii="Times New Roman" w:hAnsi="Times New Roman"/>
          <w:b/>
          <w:color w:val="000000"/>
          <w:sz w:val="24"/>
        </w:rPr>
        <w:t>Guarantor</w:t>
      </w:r>
    </w:p>
    <w:p>
      <w:pPr>
        <w:pStyle w:val="TextBody"/>
        <w:bidi w:val="0"/>
        <w:spacing w:before="240" w:after="283"/>
        <w:jc w:val="both"/>
        <w:rPr>
          <w:rFonts w:ascii="Times New Roman" w:hAnsi="Times New Roman"/>
          <w:sz w:val="24"/>
        </w:rPr>
      </w:pPr>
      <w:r>
        <w:rPr>
          <w:rFonts w:ascii="Times New Roman" w:hAnsi="Times New Roman"/>
          <w:color w:val="000000"/>
          <w:sz w:val="24"/>
        </w:rPr>
        <w:t>(a) The Performance Guarantor hereby agrees to indemnify and hold harmless the Seller, the Administrative Agent, the Purchaser Parties, the Affected Persons and their respective assigns, officers, directors, agents and employees (each, a “</w:t>
      </w:r>
      <w:r>
        <w:rPr>
          <w:rFonts w:ascii="Times New Roman" w:hAnsi="Times New Roman"/>
          <w:color w:val="000000"/>
          <w:sz w:val="24"/>
          <w:u w:val="single"/>
        </w:rPr>
        <w:t>Performance</w:t>
      </w:r>
      <w:r>
        <w:rPr>
          <w:rFonts w:ascii="Times New Roman" w:hAnsi="Times New Roman"/>
          <w:color w:val="000000"/>
          <w:sz w:val="24"/>
        </w:rPr>
        <w:t xml:space="preserve"> </w:t>
      </w:r>
      <w:r>
        <w:rPr>
          <w:rFonts w:ascii="Times New Roman" w:hAnsi="Times New Roman"/>
          <w:color w:val="000000"/>
          <w:sz w:val="24"/>
          <w:u w:val="single"/>
        </w:rPr>
        <w:t>Guarantor Indemnified Party</w:t>
      </w:r>
      <w:r>
        <w:rPr>
          <w:rFonts w:ascii="Times New Roman" w:hAnsi="Times New Roman"/>
          <w:color w:val="000000"/>
          <w:sz w:val="24"/>
        </w:rPr>
        <w:t>”), from and against any loss, liability, expense, damage or injury suffered or sustained by reason of any acts, omissions or alleged acts or omissions arising out of activities of the Performance Guarantor pursuant to this Agreement or any other Transaction Document, including any judgment, award, settlement, Attorney Costs and other costs or expenses incurred in connection with the defense of any actual or threatened action, proceeding or claim (all of the foregoing being collectively referred to as, “</w:t>
      </w:r>
      <w:r>
        <w:rPr>
          <w:rFonts w:ascii="Times New Roman" w:hAnsi="Times New Roman"/>
          <w:color w:val="000000"/>
          <w:sz w:val="24"/>
          <w:u w:val="single"/>
        </w:rPr>
        <w:t>Performance Guarantor</w:t>
      </w:r>
      <w:r>
        <w:rPr>
          <w:rFonts w:ascii="Times New Roman" w:hAnsi="Times New Roman"/>
          <w:color w:val="000000"/>
          <w:sz w:val="24"/>
        </w:rPr>
        <w:t xml:space="preserve"> </w:t>
      </w:r>
      <w:r>
        <w:rPr>
          <w:rFonts w:ascii="Times New Roman" w:hAnsi="Times New Roman"/>
          <w:color w:val="000000"/>
          <w:sz w:val="24"/>
          <w:u w:val="single"/>
        </w:rPr>
        <w:t>Indemnified Amounts</w:t>
      </w:r>
      <w:r>
        <w:rPr>
          <w:rFonts w:ascii="Times New Roman" w:hAnsi="Times New Roman"/>
          <w:color w:val="000000"/>
          <w:sz w:val="24"/>
        </w:rPr>
        <w:t xml:space="preserve">”); excluding (i) Performance Guarantor Indemnified Amounts to the extent a final non-appealable judgment of a court of competent jurisdiction holds that such Performance Guarantor Indemnified Amounts resulted solely from the gross negligence or willful misconduct by the Performance Guarantor Indemnified Party seeking indemnification and (ii) Taxes that are covered by </w:t>
      </w:r>
      <w:r>
        <w:rPr>
          <w:rFonts w:ascii="Times New Roman" w:hAnsi="Times New Roman"/>
          <w:color w:val="000000"/>
          <w:sz w:val="24"/>
          <w:u w:val="single"/>
        </w:rPr>
        <w:t>Section 4.03</w:t>
      </w:r>
      <w:r>
        <w:rPr>
          <w:rFonts w:ascii="Times New Roman" w:hAnsi="Times New Roman"/>
          <w:color w:val="000000"/>
          <w:sz w:val="24"/>
        </w:rPr>
        <w:t xml:space="preserve"> of the Receivables Purchase Agreement (other than any Taxes enumerated below or any Taxes that represent losses, claims, damages, etc. arising from any non-Tax claim). Without limiting or being limited by the foregoing, the Performance Guarantor shall pay on demand, to each Performance Guarantor Indemnified Party any and all amounts necessary to indemnify such Performance Guarantor Indemnified Party from and against any and all Performance Guarantor Indemnified Amounts relating to or resulting from any of the following (but excluding Performance Guarantor Indemnified Amounts described in clauses (i), (ii) and (iii) above):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any representation, warranty or statement made or deemed made by the Performance Guarantor (or any of its respective officers) under or in connection with this Agreement, any of the other Transaction Documents, any Information Package, any Weekly Report or any other information or report delivered by or on behalf of the Performance Guarantor pursuant hereto which shall have been untrue or incorrect when made or deemed made;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any failure of the Performance Guarantor to comply with its covenants, obligations and agreements contained in this Agreement or any other Transaction Document.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If for any reason the foregoing indemnification is unavailable to any Performance Guarantor Indemnified Party or insufficient to hold it harmless, then the Performance Guarantor shall contribute to the amount paid or payable by such Performance Guarantor Indemnified Party as a result of such loss, claim, damage or liability in such proportion as is appropriate to reflect the relative economic interests of the Performance Guarantor and its Affiliates on the one hand and such Performance Guarantor Indemnified Party on the other hand in the matters contemplated by the Transaction Documents as well as the relative fault of the Performance Guarantor and its Affiliates and such Performance Guarantor Indemnified Party with respect to such loss, claim, damage or liability and any other relevant equitable considerations. The reimbursement, indemnity and contribution obligations of the Performance Guarantor under this Section shall be in addition to any liability which the Performance Guarantor may otherwise have, shall extend upon the same terms and conditions to Performance Guarantor Indemnified Party, and shall be binding upon and inure to the benefit of any successors, assigns, heirs and personal representatives of the Performance Guarantor and the Performance Guarantor Indemnified Parties.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 Any indemnification or contribution under this Section shall survive the termination of this Agreement and/or any other Transaction Documents.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center"/>
        <w:rPr>
          <w:rFonts w:ascii="Times New Roman" w:hAnsi="Times New Roman"/>
          <w:color w:val="000000"/>
          <w:sz w:val="24"/>
        </w:rPr>
      </w:pPr>
      <w:r>
        <w:rPr>
          <w:rFonts w:ascii="Times New Roman" w:hAnsi="Times New Roman"/>
          <w:color w:val="000000"/>
          <w:sz w:val="24"/>
        </w:rPr>
        <w:t xml:space="preserve">Part 4 </w:t>
      </w:r>
    </w:p>
    <w:p>
      <w:pPr>
        <w:pStyle w:val="Heading2"/>
        <w:bidi w:val="0"/>
        <w:jc w:val="center"/>
        <w:rPr>
          <w:rFonts w:ascii="Times New Roman" w:hAnsi="Times New Roman"/>
          <w:color w:val="000000"/>
          <w:sz w:val="24"/>
        </w:rPr>
      </w:pPr>
      <w:r>
        <w:rPr>
          <w:rFonts w:ascii="Times New Roman" w:hAnsi="Times New Roman"/>
          <w:color w:val="000000"/>
          <w:sz w:val="24"/>
        </w:rPr>
        <w:t>Indemnification by the Originators</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Indemnities by the Originators</w:t>
      </w:r>
      <w:r>
        <w:rPr>
          <w:rFonts w:ascii="Times New Roman" w:hAnsi="Times New Roman"/>
          <w:color w:val="000000"/>
          <w:sz w:val="24"/>
        </w:rPr>
        <w:t>. Without limiting any other rights that the Seller may have hereunder or under Applicable Law, each Originator, jointly and severally, hereby agrees to indemnify the Seller, each of its officers, directors, employees, agents, employees and respective assigns, the Administrative Agent and each Purchaser (each of the foregoing Persons being individually called a “</w:t>
      </w:r>
      <w:r>
        <w:rPr>
          <w:rFonts w:ascii="Times New Roman" w:hAnsi="Times New Roman"/>
          <w:color w:val="000000"/>
          <w:sz w:val="24"/>
          <w:u w:val="single"/>
        </w:rPr>
        <w:t>Purchase and Sale Indemnified Party</w:t>
      </w:r>
      <w:r>
        <w:rPr>
          <w:rFonts w:ascii="Times New Roman" w:hAnsi="Times New Roman"/>
          <w:color w:val="000000"/>
          <w:sz w:val="24"/>
        </w:rPr>
        <w:t>”), forthwith on demand, from and against any and all damages, claims, losses, judgments, liabilities, penalties and related costs and expenses (including Attorney Costs) (all of the foregoing being collectively called “</w:t>
      </w:r>
      <w:r>
        <w:rPr>
          <w:rFonts w:ascii="Times New Roman" w:hAnsi="Times New Roman"/>
          <w:color w:val="000000"/>
          <w:sz w:val="24"/>
          <w:u w:val="single"/>
        </w:rPr>
        <w:t>Purchase and Sale Indemnified Amounts</w:t>
      </w:r>
      <w:r>
        <w:rPr>
          <w:rFonts w:ascii="Times New Roman" w:hAnsi="Times New Roman"/>
          <w:color w:val="000000"/>
          <w:sz w:val="24"/>
        </w:rPr>
        <w:t>”) awarded against or incurred by any of them arising out of, relating to or in connection with: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the breach of any representation or warranty made or deemed made by such Originator (or any employee, officer or agent of such Originator) under or in connection with this Agreement or any of the other Transaction Documents, or any information or report delivered by or on behalf of such Originator pursuant hereto or thereto which shall have been untrue or incorrect when made or deemed made or delivered;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the transfer by such Originator of any interest in any Pool Receivable or Related Right other than the transfer of any Pool Receivable and Related Security to the Seller pursuant to any Transaction Document and the grant of a security interest to the Buyer pursuant to any Transaction Document;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the failure by such Originator to comply with the terms of any Transaction Document or with any Applicable Law with respect to any Pool Receivable or the related Contract; or the failure of any Pool Receivable or the related Contract to conform to any such Applicable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 the lack of an enforceable ownership interest, or a first priority lien, in the Pool Receivables (and all Related Security) originated by such Originator against all Persons (including any bankruptcy trustee or similar Person), in either case, free and clear of any Adverse Claim;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 the failure to have filed, or any delay in filing, financing statements, financing statement amendments, continuation statements or other similar instruments or documents under any applicable jurisdiction or other Applicable Laws with respect to any Pool Receivable or the Related Rights;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 any suit or claim related to the Pool Receivables originated by such Originator (including any products liability or environmental liability claim arising out of or in connection with the property, products or services that are the subject of any Pool Receivable originated by such Originator);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 any dispute, claim, offset or defense (other than discharge in bankruptcy) of the Obligor to the payment of any Receivable in the Receivables Pool (including a defense based on such Receivable’s or the related Contract’s not being a legal, valid and binding obligation of such Obligor enforceable against it in accordance with its terms) or any other claim resulting from the sale of the property, products or services to such Receivable or the furnishing or failure to furnish such property, products or services;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 any failure of such Originator to perform any of its duties or obligations in accordance with the provisions hereof and of each other Transaction Document related to Pool Receivables or to timely and fully comply with the Credit and Collection Policy in regard to each Pool Receivable;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the commingling of Collections of Pool Receivables at any time with other funds (other than where such commingling had been agreed by the Administrative Agent in writing);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 the failure or delay to provide any Obligor with an invoice or other evidence of indebtedness;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 any investigation, litigation or proceeding (actual or threatened) related to this Agreement or any other Transaction Document or in respect of any Pool Receivable or any Related Rights;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 any claim brought by any Person other than a Purchase and Sale Indemnified Party arising from any activity by such Originator or any Affiliate of such Originator in servicing, administering or collecting any Pool Receivable;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 the failure by such Originator to pay when due any Taxes, including, without limitation, sales, excise or personal property taxes;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 any dispute, claim, offset or defense (other than discharge in bankruptcy of the Obligor) of the Obligor to the payment of any Pool Receivable (including, without limitation, a defense based on such Pool Receivable or the related Contract not being a legal, valid and binding obligation of such Obligor enforceable against it in accordance with its terms), or any other claim resulting from the sale of goods or the rendering of services related to such Pool Receivable or the furnishing or failure to furnish any such goods or services or other similar claim or defense not arising from the financial inability of any Obligor to pay undisputed indebtedness;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 any product liability claim arising out of or in connection with goods or services that are the subject of any Receivable generated by such Originator;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 any tax or governmental fee or charge, all interest and penalties thereon or with respect thereto, and all out-of-pocket costs and expenses, including without limitation Attorney Costs in defending against the same, which are required to be paid by reason of the purchase or ownership of the Receivables generated by such Originator or any Related Rights connected with any such Receivables;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(q) any liability under </w:t>
      </w:r>
      <w:r>
        <w:rPr>
          <w:rFonts w:ascii="Times New Roman" w:hAnsi="Times New Roman"/>
          <w:color w:val="000000"/>
          <w:sz w:val="24"/>
          <w:u w:val="single"/>
        </w:rPr>
        <w:t>Section 4.03</w:t>
      </w:r>
      <w:r>
        <w:rPr>
          <w:rFonts w:ascii="Times New Roman" w:hAnsi="Times New Roman"/>
          <w:color w:val="000000"/>
          <w:sz w:val="24"/>
        </w:rPr>
        <w:t xml:space="preserve"> of the Receivables Purchase Agreement or arising from a breach of Schedule 3 (</w:t>
      </w:r>
      <w:r>
        <w:rPr>
          <w:rFonts w:ascii="Times New Roman" w:hAnsi="Times New Roman"/>
          <w:i/>
          <w:color w:val="000000"/>
          <w:sz w:val="24"/>
        </w:rPr>
        <w:t>Representations and Warranties</w:t>
      </w:r>
      <w:r>
        <w:rPr>
          <w:rFonts w:ascii="Times New Roman" w:hAnsi="Times New Roman"/>
          <w:color w:val="000000"/>
          <w:sz w:val="24"/>
        </w:rPr>
        <w:t>) Part 1 (</w:t>
      </w:r>
      <w:r>
        <w:rPr>
          <w:rFonts w:ascii="Times New Roman" w:hAnsi="Times New Roman"/>
          <w:i/>
          <w:color w:val="000000"/>
          <w:sz w:val="24"/>
        </w:rPr>
        <w:t>Representations</w:t>
      </w:r>
      <w:r>
        <w:rPr>
          <w:rFonts w:ascii="Times New Roman" w:hAnsi="Times New Roman"/>
          <w:color w:val="000000"/>
          <w:sz w:val="24"/>
        </w:rPr>
        <w:t xml:space="preserve"> </w:t>
      </w:r>
      <w:r>
        <w:rPr>
          <w:rFonts w:ascii="Times New Roman" w:hAnsi="Times New Roman"/>
          <w:i/>
          <w:color w:val="000000"/>
          <w:sz w:val="24"/>
        </w:rPr>
        <w:t>and</w:t>
      </w:r>
      <w:r>
        <w:rPr>
          <w:rFonts w:ascii="Times New Roman" w:hAnsi="Times New Roman"/>
          <w:color w:val="000000"/>
          <w:sz w:val="24"/>
        </w:rPr>
        <w:t xml:space="preserve"> </w:t>
      </w:r>
      <w:r>
        <w:rPr>
          <w:rFonts w:ascii="Times New Roman" w:hAnsi="Times New Roman"/>
          <w:i/>
          <w:color w:val="000000"/>
          <w:sz w:val="24"/>
        </w:rPr>
        <w:t>Warranties</w:t>
      </w:r>
      <w:r>
        <w:rPr>
          <w:rFonts w:ascii="Times New Roman" w:hAnsi="Times New Roman"/>
          <w:color w:val="000000"/>
          <w:sz w:val="24"/>
        </w:rPr>
        <w:t xml:space="preserve"> </w:t>
      </w:r>
      <w:r>
        <w:rPr>
          <w:rFonts w:ascii="Times New Roman" w:hAnsi="Times New Roman"/>
          <w:i/>
          <w:color w:val="000000"/>
          <w:sz w:val="24"/>
        </w:rPr>
        <w:t>of</w:t>
      </w:r>
      <w:r>
        <w:rPr>
          <w:rFonts w:ascii="Times New Roman" w:hAnsi="Times New Roman"/>
          <w:color w:val="000000"/>
          <w:sz w:val="24"/>
        </w:rPr>
        <w:t xml:space="preserve"> </w:t>
      </w:r>
      <w:r>
        <w:rPr>
          <w:rFonts w:ascii="Times New Roman" w:hAnsi="Times New Roman"/>
          <w:i/>
          <w:color w:val="000000"/>
          <w:sz w:val="24"/>
        </w:rPr>
        <w:t>the</w:t>
      </w:r>
      <w:r>
        <w:rPr>
          <w:rFonts w:ascii="Times New Roman" w:hAnsi="Times New Roman"/>
          <w:color w:val="000000"/>
          <w:sz w:val="24"/>
        </w:rPr>
        <w:t xml:space="preserve"> </w:t>
      </w:r>
      <w:r>
        <w:rPr>
          <w:rFonts w:ascii="Times New Roman" w:hAnsi="Times New Roman"/>
          <w:i/>
          <w:color w:val="000000"/>
          <w:sz w:val="24"/>
        </w:rPr>
        <w:t>Performance</w:t>
      </w:r>
      <w:r>
        <w:rPr>
          <w:rFonts w:ascii="Times New Roman" w:hAnsi="Times New Roman"/>
          <w:color w:val="000000"/>
          <w:sz w:val="24"/>
        </w:rPr>
        <w:t xml:space="preserve"> </w:t>
      </w:r>
      <w:r>
        <w:rPr>
          <w:rFonts w:ascii="Times New Roman" w:hAnsi="Times New Roman"/>
          <w:i/>
          <w:color w:val="000000"/>
          <w:sz w:val="24"/>
        </w:rPr>
        <w:t>Guarantor</w:t>
      </w:r>
      <w:r>
        <w:rPr>
          <w:rFonts w:ascii="Times New Roman" w:hAnsi="Times New Roman"/>
          <w:color w:val="000000"/>
          <w:sz w:val="24"/>
        </w:rPr>
        <w:t>) paragraph (y) or Schedule 3 (</w:t>
      </w:r>
      <w:r>
        <w:rPr>
          <w:rFonts w:ascii="Times New Roman" w:hAnsi="Times New Roman"/>
          <w:i/>
          <w:color w:val="000000"/>
          <w:sz w:val="24"/>
        </w:rPr>
        <w:t>Representations</w:t>
      </w:r>
      <w:r>
        <w:rPr>
          <w:rFonts w:ascii="Times New Roman" w:hAnsi="Times New Roman"/>
          <w:color w:val="000000"/>
          <w:sz w:val="24"/>
        </w:rPr>
        <w:t xml:space="preserve"> </w:t>
      </w:r>
      <w:r>
        <w:rPr>
          <w:rFonts w:ascii="Times New Roman" w:hAnsi="Times New Roman"/>
          <w:i/>
          <w:color w:val="000000"/>
          <w:sz w:val="24"/>
        </w:rPr>
        <w:t>and</w:t>
      </w:r>
      <w:r>
        <w:rPr>
          <w:rFonts w:ascii="Times New Roman" w:hAnsi="Times New Roman"/>
          <w:color w:val="000000"/>
          <w:sz w:val="24"/>
        </w:rPr>
        <w:t xml:space="preserve"> </w:t>
      </w:r>
      <w:r>
        <w:rPr>
          <w:rFonts w:ascii="Times New Roman" w:hAnsi="Times New Roman"/>
          <w:i/>
          <w:color w:val="000000"/>
          <w:sz w:val="24"/>
        </w:rPr>
        <w:t>Warranties</w:t>
      </w:r>
      <w:r>
        <w:rPr>
          <w:rFonts w:ascii="Times New Roman" w:hAnsi="Times New Roman"/>
          <w:color w:val="000000"/>
          <w:sz w:val="24"/>
        </w:rPr>
        <w:t>) Part 2 (</w:t>
      </w:r>
      <w:r>
        <w:rPr>
          <w:rFonts w:ascii="Times New Roman" w:hAnsi="Times New Roman"/>
          <w:i/>
          <w:color w:val="000000"/>
          <w:sz w:val="24"/>
        </w:rPr>
        <w:t>Representations</w:t>
      </w:r>
      <w:r>
        <w:rPr>
          <w:rFonts w:ascii="Times New Roman" w:hAnsi="Times New Roman"/>
          <w:color w:val="000000"/>
          <w:sz w:val="24"/>
        </w:rPr>
        <w:t xml:space="preserve"> </w:t>
      </w:r>
      <w:r>
        <w:rPr>
          <w:rFonts w:ascii="Times New Roman" w:hAnsi="Times New Roman"/>
          <w:i/>
          <w:color w:val="000000"/>
          <w:sz w:val="24"/>
        </w:rPr>
        <w:t>and</w:t>
      </w:r>
      <w:r>
        <w:rPr>
          <w:rFonts w:ascii="Times New Roman" w:hAnsi="Times New Roman"/>
          <w:color w:val="000000"/>
          <w:sz w:val="24"/>
        </w:rPr>
        <w:t xml:space="preserve"> </w:t>
      </w:r>
      <w:r>
        <w:rPr>
          <w:rFonts w:ascii="Times New Roman" w:hAnsi="Times New Roman"/>
          <w:i/>
          <w:color w:val="000000"/>
          <w:sz w:val="24"/>
        </w:rPr>
        <w:t>Warranties</w:t>
      </w:r>
      <w:r>
        <w:rPr>
          <w:rFonts w:ascii="Times New Roman" w:hAnsi="Times New Roman"/>
          <w:color w:val="000000"/>
          <w:sz w:val="24"/>
        </w:rPr>
        <w:t xml:space="preserve"> </w:t>
      </w:r>
      <w:r>
        <w:rPr>
          <w:rFonts w:ascii="Times New Roman" w:hAnsi="Times New Roman"/>
          <w:i/>
          <w:color w:val="000000"/>
          <w:sz w:val="24"/>
        </w:rPr>
        <w:t>of</w:t>
      </w:r>
      <w:r>
        <w:rPr>
          <w:rFonts w:ascii="Times New Roman" w:hAnsi="Times New Roman"/>
          <w:color w:val="000000"/>
          <w:sz w:val="24"/>
        </w:rPr>
        <w:t xml:space="preserve"> </w:t>
      </w:r>
      <w:r>
        <w:rPr>
          <w:rFonts w:ascii="Times New Roman" w:hAnsi="Times New Roman"/>
          <w:i/>
          <w:color w:val="000000"/>
          <w:sz w:val="24"/>
        </w:rPr>
        <w:t>the</w:t>
      </w:r>
      <w:r>
        <w:rPr>
          <w:rFonts w:ascii="Times New Roman" w:hAnsi="Times New Roman"/>
          <w:color w:val="000000"/>
          <w:sz w:val="24"/>
        </w:rPr>
        <w:t xml:space="preserve"> </w:t>
      </w:r>
      <w:r>
        <w:rPr>
          <w:rFonts w:ascii="Times New Roman" w:hAnsi="Times New Roman"/>
          <w:i/>
          <w:color w:val="000000"/>
          <w:sz w:val="24"/>
        </w:rPr>
        <w:t>Servicer</w:t>
      </w:r>
      <w:r>
        <w:rPr>
          <w:rFonts w:ascii="Times New Roman" w:hAnsi="Times New Roman"/>
          <w:color w:val="000000"/>
          <w:sz w:val="24"/>
        </w:rPr>
        <w:t xml:space="preserve"> </w:t>
      </w:r>
      <w:r>
        <w:rPr>
          <w:rFonts w:ascii="Times New Roman" w:hAnsi="Times New Roman"/>
          <w:i/>
          <w:color w:val="000000"/>
          <w:sz w:val="24"/>
        </w:rPr>
        <w:t>and Ashland Sub-Servicers</w:t>
      </w:r>
      <w:r>
        <w:rPr>
          <w:rFonts w:ascii="Times New Roman" w:hAnsi="Times New Roman"/>
          <w:color w:val="000000"/>
          <w:sz w:val="24"/>
        </w:rPr>
        <w:t>) paragraph (x);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 any action taken by the Administrative Agent as attorney-in-fact for such Originator pursuant to this Agreement or any other Transaction Document;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 Limitations for Swiss Originator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(i) If and to the extent that (i) the Swiss Originator under a Transaction Document guarantees, indemnifies or secures obligations other than obligations of one of its direct or indirect subsidiaries (i.e. obligations of the Swiss Originator’s direct or indirect parent companies (up-stream liabilities) or sister companies (cross-stream liabilities)); and (ii) any payment in fulfilling such obligations would, under Swiss law and practice, constitute a repayment of capital (</w:t>
      </w:r>
      <w:r>
        <w:rPr>
          <w:rFonts w:ascii="Times New Roman" w:hAnsi="Times New Roman"/>
          <w:i/>
          <w:color w:val="000000"/>
          <w:sz w:val="24"/>
        </w:rPr>
        <w:t>Einlagerückgewähr</w:t>
      </w:r>
      <w:r>
        <w:rPr>
          <w:rFonts w:ascii="Times New Roman" w:hAnsi="Times New Roman"/>
          <w:color w:val="000000"/>
          <w:sz w:val="24"/>
        </w:rPr>
        <w:t>), a violation of the legally protected reserves (</w:t>
      </w:r>
      <w:r>
        <w:rPr>
          <w:rFonts w:ascii="Times New Roman" w:hAnsi="Times New Roman"/>
          <w:i/>
          <w:color w:val="000000"/>
          <w:sz w:val="24"/>
        </w:rPr>
        <w:t>gesetzlich geschützte Reserven</w:t>
      </w:r>
      <w:r>
        <w:rPr>
          <w:rFonts w:ascii="Times New Roman" w:hAnsi="Times New Roman"/>
          <w:color w:val="000000"/>
          <w:sz w:val="24"/>
        </w:rPr>
        <w:t>) or the payment of a (constructive) dividend (</w:t>
      </w:r>
      <w:r>
        <w:rPr>
          <w:rFonts w:ascii="Times New Roman" w:hAnsi="Times New Roman"/>
          <w:i/>
          <w:color w:val="000000"/>
          <w:sz w:val="24"/>
        </w:rPr>
        <w:t>Gewinnausschüttung</w:t>
      </w:r>
      <w:r>
        <w:rPr>
          <w:rFonts w:ascii="Times New Roman" w:hAnsi="Times New Roman"/>
          <w:color w:val="000000"/>
          <w:sz w:val="24"/>
        </w:rPr>
        <w:t>) by the Swiss Originator or would otherwise be restricted under Swiss corporate law, (the Restricted Obligations), such Restricted Obligations (and the amount of any payment in relation thereto) shall from time to time be limited to the amount permitted to be paid under Swiss law and practice, provided that, such limited amount shall at no time be less than the profits and reserves of the Swiss Originator available for distribution as dividends at the time or times payment under a Transaction Document is requested from the Swiss Originator (the “</w:t>
      </w:r>
      <w:r>
        <w:rPr>
          <w:rFonts w:ascii="Times New Roman" w:hAnsi="Times New Roman"/>
          <w:color w:val="000000"/>
          <w:sz w:val="24"/>
          <w:u w:val="single"/>
        </w:rPr>
        <w:t>Maximum Amount</w:t>
      </w:r>
      <w:r>
        <w:rPr>
          <w:rFonts w:ascii="Times New Roman" w:hAnsi="Times New Roman"/>
          <w:color w:val="000000"/>
          <w:sz w:val="24"/>
        </w:rPr>
        <w:t>”) and further provided that such limitation (as may apply from time to time or not) shall not (generally or definitively) free the Swiss Originator from payment obligations hereunder in excess thereof, but merely postpone the payment date therefore until such times as payment is again permitted notwithstanding such limitation. Any and all indemnities, guarantees and security interests of the Swiss Originator contained in any Transaction Documents shall be construed in a manner consistent with the provisions herein contained.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If the Swiss Originator is required by applicable law in force at the relevant time to withhold Swiss Withholding Tax on a payment in respect of Restricted Obligations, the Swiss Originator shall: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use best efforts to make such payment without deduction of Swiss Withholding Tax or to reduce the rate of Swiss Withholding Tax required to be deducted by discharging the liability to such tax by notification pursuant to applicable law (including double tax treaties) rather than payment of the tax;</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if the notification procedure pursuant to sub-paragraph (A) above does not apply, deduct Swiss Withholding Tax at the rate of 35% (or such other rate as in force from time to time), or if the notification procedure pursuant to sub-paragraph (A) above applies for a part of the Swiss With-holding Tax only, deduct Swiss Withholding Tax at the reduced rate resulting after the discharge of part of such tax by notification under applicable law, from any payment made by it in respect of Restricted Obligations and promptly pay any such taxes to the Swiss Federal Tax Administration;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notify the Administrative Agent that such notification, or as the case may be, deduction has been made and provide the Administrative Agent with evidence that such notification of the Swiss Federal Tax Ad-ministration has been made or, as the case may be, such deducted taxes have been paid to the Swiss Federal Tax Administration; and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 if and to the extent such a deduction is made, not be obliged to either gross-up payments or indemnify the Administrative Agent in relation to any such payment made by it in respect of Restricted Obligations unless grossing-up or indemnifying is permitted under the laws of Switzerland then in force but always subject to the limitations set out in paragraph (s)(i) above and (s)(iii) below;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 use its best efforts to ensure that any person which is entitled to a full or partial refund of the Swiss Withholding Tax deducted from a payment in respect of Restricted Obligations, will, as soon as possible after the deduction of the Swiss Withholding Tax:</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 request a refund of the Swiss Withholding Tax under any applicable law (including double tax treaties);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 pay to the Administrative Agent, upon receipt, any amount so refunded for application as a further payment of the Swiss Originator with respect to the Restricted Obligations. The Administrative Agent shall reasonably cooperate with the Swiss Originator to secure such refund.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To the extent the Swiss Originator is required to deduct Swiss Withholding Tax pursuant to paragraph (s)(ii) above, and if the Maximum Amount pursuant to paragraph (s)(i) above is not fully utilised, the Swiss Sub-Servicer shall be required to pay an additional amount, so that, after making any deduction of Swiss Withholding Tax, the aggregate net amount paid to the Administrative Agent is equal to the amount which would have been paid if no deduction of Swiss Withholding Tax had been required, provided that the aggregate amount paid (including the additional amount) shall in any event be limited to the Maximum Amount pursuant to paragraph (s)(i) above. If a refund of any amounts of Swiss Withholding Tax paid by the Swiss Originator is made to the Administrative Agent, the Administrative Agent shall transfer the refund so received to the Swiss Originator, subject to any right of set-off of the Administrative Agent pursuant to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 If performance of Restricted Obligations would be limited due to the effects referred to in paragraph (a) above, the Swiss Originator shall promptly implement all such measures and promptly procure the fulfilment of all prerequisites to allow it to perform its obligations with a minimum of limitations, including the following: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preparation of an up-to-date balance sheet of the Swiss Originator;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confirmation from the auditors of the Swiss Originator that the relevant amount represents (the maximum of) freely distributable reserves;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revaluation of hidden reserves (to the extent permitted by mandatory Swiss law and applicable accounting standards);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(D) to the extent permitted by applicable law and applicable accounting standards, (1) write-up or realise any of its assets that are shown in its balance sheet with a book value that is significantly lower than the market value of the assets, in case of realisation, however, only if such assets are not necessary for the Swiss Originator's business (</w:t>
      </w:r>
      <w:r>
        <w:rPr>
          <w:rFonts w:ascii="Times New Roman" w:hAnsi="Times New Roman"/>
          <w:i/>
          <w:color w:val="000000"/>
          <w:sz w:val="24"/>
        </w:rPr>
        <w:t>nicht betriebsnotwendig</w:t>
      </w:r>
      <w:r>
        <w:rPr>
          <w:rFonts w:ascii="Times New Roman" w:hAnsi="Times New Roman"/>
          <w:color w:val="000000"/>
          <w:sz w:val="24"/>
        </w:rPr>
        <w:t>) and/or (2) reduce its share capital;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 approval by a shareholders' meeting of the Swiss Originator of the (resulting) profit distribution.</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provided</w:t>
      </w:r>
      <w:r>
        <w:rPr>
          <w:rFonts w:ascii="Times New Roman" w:hAnsi="Times New Roman"/>
          <w:color w:val="000000"/>
          <w:sz w:val="24"/>
        </w:rPr>
        <w:t xml:space="preserve"> that such indemnity shall not be available to any Purchase and Sale Indemnified Party to the extent that such losses, claims, damages, liabilities or related expenses (x) are determined by a court of competent jurisdiction in a final and non-appealable judgment to have resulted from the gross negligence or wilful misconduct of a Purchase and Sale Indemnified Party or (y) constitute recourse with respect to a Pool Receivable by reason of the bankruptcy or insolvency, or the financial or credit condition or financial default, of the related Obligor.</w:t>
      </w:r>
    </w:p>
    <w:p>
      <w:pPr>
        <w:pStyle w:val="TextBody"/>
        <w:bidi w:val="0"/>
        <w:spacing w:before="240" w:after="283"/>
        <w:jc w:val="both"/>
        <w:rPr>
          <w:rFonts w:ascii="Times New Roman" w:hAnsi="Times New Roman"/>
          <w:sz w:val="24"/>
        </w:rPr>
      </w:pPr>
      <w:r>
        <w:rPr>
          <w:rFonts w:ascii="Times New Roman" w:hAnsi="Times New Roman"/>
          <w:color w:val="000000"/>
          <w:sz w:val="24"/>
        </w:rPr>
        <w:t>Notwithstanding anything to the contrary in the Transaction Documents, solely for purposes of such Originator’s indemnification obligations in this Schedule 5 (</w:t>
      </w:r>
      <w:r>
        <w:rPr>
          <w:rFonts w:ascii="Times New Roman" w:hAnsi="Times New Roman"/>
          <w:i/>
          <w:color w:val="000000"/>
          <w:sz w:val="24"/>
        </w:rPr>
        <w:t>Indemnities</w:t>
      </w:r>
      <w:r>
        <w:rPr>
          <w:rFonts w:ascii="Times New Roman" w:hAnsi="Times New Roman"/>
          <w:color w:val="000000"/>
          <w:sz w:val="24"/>
        </w:rPr>
        <w:t>) Part 4 (</w:t>
      </w:r>
      <w:r>
        <w:rPr>
          <w:rFonts w:ascii="Times New Roman" w:hAnsi="Times New Roman"/>
          <w:i/>
          <w:color w:val="000000"/>
          <w:sz w:val="24"/>
        </w:rPr>
        <w:t>Indemnities of the Originators</w:t>
      </w:r>
      <w:r>
        <w:rPr>
          <w:rFonts w:ascii="Times New Roman" w:hAnsi="Times New Roman"/>
          <w:color w:val="000000"/>
          <w:sz w:val="24"/>
        </w:rPr>
        <w:t>), any representation, warranty or covenant qualified by the occurrence or non-occurrence of a material adverse effect or similar concepts of materiality shall be deemed to be not so qualified.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for any reason the foregoing indemnification is unavailable to any Purchase and Sale Indemnified Party or insufficient to hold it harmless, then the Originators, jointly and severally, shall contribute to the amount paid or payable by such Purchase and Sale Indemnified Party as a result of such loss, claim, damage or liability in such proportion as is appropriate to reflect the relative economic interests of such Originator and its Affiliates, on the one hand, and such Purchase and Sale Indemnified Party, on the other hand, in the matters contemplated by the Transaction Documents as well as the relative fault of such Originator and its Affiliates and such Purchase and Sale Indemnified Party with respect to such loss, claim, damage or liability and any other relevant equitable considerations. The reimbursement, indemnity and contribution obligations of such Originator under this Section shall be in addition to any liability which such Originator may otherwise have, shall extend upon the same terms and conditions to Purchase and Sale Indemnified Party, and shall be binding upon and inure to the benefit of any successors, assigns, heirs and personal representatives of such Originator and the Purchase and Sale Indemnified Parties. Any indemnification or contribution under this Section shall survive the termination of this Agreement and/or any other Transaction Document.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66" w:after="283"/>
        <w:jc w:val="center"/>
        <w:rPr>
          <w:rFonts w:ascii="Times New Roman" w:hAnsi="Times New Roman"/>
          <w:color w:val="000000"/>
          <w:sz w:val="24"/>
        </w:rPr>
      </w:pPr>
      <w:r>
        <w:rPr>
          <w:rFonts w:ascii="Times New Roman" w:hAnsi="Times New Roman"/>
          <w:color w:val="000000"/>
          <w:sz w:val="24"/>
        </w:rPr>
        <w:t>SCHEDULE 6</w:t>
      </w:r>
    </w:p>
    <w:p>
      <w:pPr>
        <w:pStyle w:val="Heading1"/>
        <w:bidi w:val="0"/>
        <w:spacing w:before="66" w:after="283"/>
        <w:jc w:val="center"/>
        <w:rPr>
          <w:rFonts w:ascii="Times New Roman" w:hAnsi="Times New Roman"/>
          <w:color w:val="000000"/>
          <w:sz w:val="24"/>
        </w:rPr>
      </w:pPr>
      <w:r>
        <w:rPr>
          <w:rFonts w:ascii="Times New Roman" w:hAnsi="Times New Roman"/>
          <w:color w:val="000000"/>
          <w:sz w:val="24"/>
        </w:rPr>
        <w:t>NOTICE DETAILS</w:t>
      </w:r>
    </w:p>
    <w:p>
      <w:pPr>
        <w:pStyle w:val="TextBody"/>
        <w:bidi w:val="0"/>
        <w:spacing w:before="240" w:after="283"/>
        <w:jc w:val="left"/>
        <w:rPr>
          <w:rFonts w:ascii="Times New Roman" w:hAnsi="Times New Roman"/>
          <w:sz w:val="24"/>
        </w:rPr>
      </w:pPr>
      <w:r>
        <w:rPr>
          <w:rFonts w:ascii="Times New Roman" w:hAnsi="Times New Roman"/>
          <w:color w:val="000000"/>
          <w:sz w:val="24"/>
        </w:rPr>
        <w:t>The addresses referred to in Section 13 (</w:t>
      </w:r>
      <w:r>
        <w:rPr>
          <w:rFonts w:ascii="Times New Roman" w:hAnsi="Times New Roman"/>
          <w:i/>
          <w:color w:val="000000"/>
          <w:sz w:val="24"/>
        </w:rPr>
        <w:t>Notices</w:t>
      </w:r>
      <w:r>
        <w:rPr>
          <w:rFonts w:ascii="Times New Roman" w:hAnsi="Times New Roman"/>
          <w:color w:val="000000"/>
          <w:sz w:val="24"/>
        </w:rPr>
        <w:t>) of the Common Terms are: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sz w:val="4"/>
                <w:szCs w:val="4"/>
              </w:rPr>
            </w:pPr>
            <w:r>
              <w:rPr>
                <w:sz w:val="4"/>
                <w:szCs w:val="4"/>
              </w:rPr>
            </w:r>
          </w:p>
        </w:tc>
        <w:tc>
          <w:tcPr>
            <w:tcW w:w="9044" w:type="dxa"/>
            <w:tcBorders/>
            <w:vAlign w:val="center"/>
          </w:tcPr>
          <w:p>
            <w:pPr>
              <w:pStyle w:val="TableContents"/>
              <w:bidi w:val="0"/>
              <w:spacing w:before="0" w:after="283"/>
              <w:jc w:val="left"/>
              <w:rPr>
                <w:sz w:val="4"/>
                <w:szCs w:val="4"/>
              </w:rPr>
            </w:pPr>
            <w:r>
              <w:rPr>
                <w:sz w:val="4"/>
                <w:szCs w:val="4"/>
              </w:rPr>
            </w:r>
          </w:p>
        </w:tc>
      </w:tr>
      <w:tr>
        <w:trPr/>
        <w:tc>
          <w:tcPr>
            <w:tcW w:w="1161" w:type="dxa"/>
            <w:tcBorders/>
            <w:tcMar>
              <w:top w:w="0" w:type="dxa"/>
              <w:left w:w="0" w:type="dxa"/>
              <w:bottom w:w="0" w:type="dxa"/>
              <w:right w:w="0" w:type="dxa"/>
            </w:tcMar>
            <w:vAlign w:val="center"/>
          </w:tcPr>
          <w:p>
            <w:pPr>
              <w:pStyle w:val="Heading2"/>
              <w:bidi w:val="0"/>
              <w:spacing w:before="240" w:after="283"/>
              <w:jc w:val="left"/>
              <w:rPr>
                <w:rFonts w:ascii="Times New Roman" w:hAnsi="Times New Roman"/>
                <w:color w:val="000000"/>
                <w:sz w:val="24"/>
              </w:rPr>
            </w:pPr>
            <w:r>
              <w:rPr>
                <w:rFonts w:ascii="Times New Roman" w:hAnsi="Times New Roman"/>
                <w:color w:val="000000"/>
                <w:sz w:val="24"/>
              </w:rPr>
              <w:t>Seller</w:t>
            </w:r>
          </w:p>
        </w:tc>
        <w:tc>
          <w:tcPr>
            <w:tcW w:w="9044" w:type="dxa"/>
            <w:tcBorders/>
            <w:tcMar>
              <w:top w:w="0" w:type="dxa"/>
              <w:left w:w="0" w:type="dxa"/>
              <w:bottom w:w="0" w:type="dxa"/>
              <w:right w:w="0" w:type="dxa"/>
            </w:tcMar>
            <w:vAlign w:val="center"/>
          </w:tcPr>
          <w:p>
            <w:pPr>
              <w:pStyle w:val="TableContents"/>
              <w:bidi w:val="0"/>
              <w:spacing w:before="240" w:after="283"/>
              <w:jc w:val="left"/>
              <w:rPr/>
            </w:pPr>
            <w:r>
              <w:rPr/>
              <w:t> </w:t>
            </w:r>
          </w:p>
        </w:tc>
      </w:tr>
      <w:tr>
        <w:trPr/>
        <w:tc>
          <w:tcPr>
            <w:tcW w:w="11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Address:</w:t>
            </w:r>
          </w:p>
        </w:tc>
        <w:tc>
          <w:tcPr>
            <w:tcW w:w="904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Ashland International Receivables Designated Activity Company, Ground Floor, Two Dockland Central, Guild Street, North Dock, Dublin 1, D01 K2C5, Ireland</w:t>
            </w:r>
          </w:p>
        </w:tc>
      </w:tr>
      <w:tr>
        <w:trPr/>
        <w:tc>
          <w:tcPr>
            <w:tcW w:w="11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Tel:</w:t>
            </w:r>
          </w:p>
        </w:tc>
        <w:tc>
          <w:tcPr>
            <w:tcW w:w="904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+1 859.957.4548</w:t>
            </w:r>
          </w:p>
        </w:tc>
      </w:tr>
      <w:tr>
        <w:trPr/>
        <w:tc>
          <w:tcPr>
            <w:tcW w:w="11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Email:</w:t>
            </w:r>
          </w:p>
        </w:tc>
        <w:tc>
          <w:tcPr>
            <w:tcW w:w="904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4"/>
              </w:rPr>
            </w:pPr>
            <w:r>
              <w:rPr>
                <w:rFonts w:ascii="Times New Roman" w:hAnsi="Times New Roman"/>
                <w:sz w:val="24"/>
              </w:rPr>
              <w:t>KDHiggins@Ashland.com</w:t>
            </w:r>
            <w:r>
              <w:rPr>
                <w:rFonts w:ascii="Times New Roman" w:hAnsi="Times New Roman"/>
                <w:color w:val="253E6A"/>
                <w:sz w:val="24"/>
              </w:rPr>
              <w:t xml:space="preserve"> </w:t>
            </w:r>
            <w:r>
              <w:rPr>
                <w:rFonts w:ascii="Times New Roman" w:hAnsi="Times New Roman"/>
                <w:color w:val="000000"/>
                <w:sz w:val="24"/>
              </w:rPr>
              <w:t xml:space="preserve">/ </w:t>
            </w:r>
            <w:r>
              <w:rPr>
                <w:rFonts w:ascii="Times New Roman" w:hAnsi="Times New Roman"/>
                <w:sz w:val="24"/>
              </w:rPr>
              <w:t>Ireland@tmf-group.com</w:t>
            </w:r>
          </w:p>
        </w:tc>
      </w:tr>
      <w:tr>
        <w:trPr/>
        <w:tc>
          <w:tcPr>
            <w:tcW w:w="11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Attention of:</w:t>
            </w:r>
          </w:p>
        </w:tc>
        <w:tc>
          <w:tcPr>
            <w:tcW w:w="904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Kevin Higgins / The Directors</w:t>
            </w:r>
          </w:p>
        </w:tc>
      </w:tr>
      <w:tr>
        <w:trPr/>
        <w:tc>
          <w:tcPr>
            <w:tcW w:w="10205" w:type="dxa"/>
            <w:gridSpan w:val="2"/>
            <w:tcBorders/>
            <w:tcMar>
              <w:top w:w="0" w:type="dxa"/>
              <w:left w:w="0" w:type="dxa"/>
              <w:bottom w:w="0" w:type="dxa"/>
              <w:right w:w="0" w:type="dxa"/>
            </w:tcMar>
            <w:vAlign w:val="center"/>
          </w:tcPr>
          <w:p>
            <w:pPr>
              <w:pStyle w:val="Heading2"/>
              <w:bidi w:val="0"/>
              <w:spacing w:before="360" w:after="283"/>
              <w:jc w:val="left"/>
              <w:rPr>
                <w:rFonts w:ascii="Times New Roman" w:hAnsi="Times New Roman"/>
                <w:color w:val="000000"/>
                <w:sz w:val="24"/>
              </w:rPr>
            </w:pPr>
            <w:r>
              <w:rPr>
                <w:rFonts w:ascii="Times New Roman" w:hAnsi="Times New Roman"/>
                <w:color w:val="000000"/>
                <w:sz w:val="24"/>
              </w:rPr>
              <w:t>Performance Guarantor</w:t>
            </w:r>
          </w:p>
        </w:tc>
      </w:tr>
      <w:tr>
        <w:trPr/>
        <w:tc>
          <w:tcPr>
            <w:tcW w:w="11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Address:</w:t>
            </w:r>
          </w:p>
        </w:tc>
        <w:tc>
          <w:tcPr>
            <w:tcW w:w="904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Ashland Inc., 1979 Atlas Street, Columbus, OH 43228, USA</w:t>
            </w:r>
          </w:p>
        </w:tc>
      </w:tr>
      <w:tr>
        <w:trPr/>
        <w:tc>
          <w:tcPr>
            <w:tcW w:w="11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Tel:</w:t>
            </w:r>
          </w:p>
        </w:tc>
        <w:tc>
          <w:tcPr>
            <w:tcW w:w="904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+1 859.957.4548</w:t>
            </w:r>
          </w:p>
        </w:tc>
      </w:tr>
      <w:tr>
        <w:trPr/>
        <w:tc>
          <w:tcPr>
            <w:tcW w:w="11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Email:</w:t>
            </w:r>
          </w:p>
        </w:tc>
        <w:tc>
          <w:tcPr>
            <w:tcW w:w="904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4"/>
              </w:rPr>
            </w:pPr>
            <w:r>
              <w:rPr>
                <w:rFonts w:ascii="Times New Roman" w:hAnsi="Times New Roman"/>
                <w:sz w:val="24"/>
              </w:rPr>
              <w:t>KDHiggins@Ashland.com</w:t>
            </w:r>
          </w:p>
        </w:tc>
      </w:tr>
      <w:tr>
        <w:trPr/>
        <w:tc>
          <w:tcPr>
            <w:tcW w:w="11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Attention of:</w:t>
            </w:r>
          </w:p>
        </w:tc>
        <w:tc>
          <w:tcPr>
            <w:tcW w:w="904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Kevin Higgins</w:t>
            </w:r>
          </w:p>
        </w:tc>
      </w:tr>
      <w:tr>
        <w:trPr/>
        <w:tc>
          <w:tcPr>
            <w:tcW w:w="10205" w:type="dxa"/>
            <w:gridSpan w:val="2"/>
            <w:tcBorders/>
            <w:tcMar>
              <w:top w:w="0" w:type="dxa"/>
              <w:left w:w="0" w:type="dxa"/>
              <w:bottom w:w="0" w:type="dxa"/>
              <w:right w:w="0" w:type="dxa"/>
            </w:tcMar>
            <w:vAlign w:val="center"/>
          </w:tcPr>
          <w:p>
            <w:pPr>
              <w:pStyle w:val="Heading2"/>
              <w:bidi w:val="0"/>
              <w:spacing w:before="360" w:after="283"/>
              <w:jc w:val="left"/>
              <w:rPr>
                <w:rFonts w:ascii="Times New Roman" w:hAnsi="Times New Roman"/>
                <w:color w:val="000000"/>
                <w:sz w:val="24"/>
              </w:rPr>
            </w:pPr>
            <w:r>
              <w:rPr>
                <w:rFonts w:ascii="Times New Roman" w:hAnsi="Times New Roman"/>
                <w:color w:val="000000"/>
                <w:sz w:val="24"/>
              </w:rPr>
              <w:t>French Originator</w:t>
            </w:r>
          </w:p>
        </w:tc>
      </w:tr>
      <w:tr>
        <w:trPr/>
        <w:tc>
          <w:tcPr>
            <w:tcW w:w="11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Address:</w:t>
            </w:r>
          </w:p>
        </w:tc>
        <w:tc>
          <w:tcPr>
            <w:tcW w:w="904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Ashland Industries France SAS, 142 rue de Rouville, 27460 Alizay, France</w:t>
            </w:r>
          </w:p>
        </w:tc>
      </w:tr>
      <w:tr>
        <w:trPr/>
        <w:tc>
          <w:tcPr>
            <w:tcW w:w="11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Tel:</w:t>
            </w:r>
          </w:p>
        </w:tc>
        <w:tc>
          <w:tcPr>
            <w:tcW w:w="904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+1 859.957.4548</w:t>
            </w:r>
          </w:p>
        </w:tc>
      </w:tr>
      <w:tr>
        <w:trPr/>
        <w:tc>
          <w:tcPr>
            <w:tcW w:w="11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Email:</w:t>
            </w:r>
          </w:p>
        </w:tc>
        <w:tc>
          <w:tcPr>
            <w:tcW w:w="904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4"/>
              </w:rPr>
            </w:pPr>
            <w:r>
              <w:rPr>
                <w:rFonts w:ascii="Times New Roman" w:hAnsi="Times New Roman"/>
                <w:sz w:val="24"/>
              </w:rPr>
              <w:t>KDHiggins@Ashland.com</w:t>
            </w:r>
          </w:p>
        </w:tc>
      </w:tr>
      <w:tr>
        <w:trPr/>
        <w:tc>
          <w:tcPr>
            <w:tcW w:w="11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Attention of:</w:t>
            </w:r>
          </w:p>
        </w:tc>
        <w:tc>
          <w:tcPr>
            <w:tcW w:w="904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Kevin Higgins</w:t>
            </w:r>
          </w:p>
        </w:tc>
      </w:tr>
      <w:tr>
        <w:trPr/>
        <w:tc>
          <w:tcPr>
            <w:tcW w:w="10205" w:type="dxa"/>
            <w:gridSpan w:val="2"/>
            <w:tcBorders/>
            <w:tcMar>
              <w:top w:w="0" w:type="dxa"/>
              <w:left w:w="0" w:type="dxa"/>
              <w:bottom w:w="0" w:type="dxa"/>
              <w:right w:w="0" w:type="dxa"/>
            </w:tcMar>
            <w:vAlign w:val="center"/>
          </w:tcPr>
          <w:p>
            <w:pPr>
              <w:pStyle w:val="Heading2"/>
              <w:bidi w:val="0"/>
              <w:spacing w:before="360" w:after="283"/>
              <w:jc w:val="left"/>
              <w:rPr>
                <w:rFonts w:ascii="Times New Roman" w:hAnsi="Times New Roman"/>
                <w:color w:val="000000"/>
                <w:sz w:val="24"/>
              </w:rPr>
            </w:pPr>
            <w:r>
              <w:rPr>
                <w:rFonts w:ascii="Times New Roman" w:hAnsi="Times New Roman"/>
                <w:color w:val="000000"/>
                <w:sz w:val="24"/>
              </w:rPr>
              <w:t>German Originator</w:t>
            </w:r>
          </w:p>
        </w:tc>
      </w:tr>
      <w:tr>
        <w:trPr/>
        <w:tc>
          <w:tcPr>
            <w:tcW w:w="11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Address:</w:t>
            </w:r>
          </w:p>
        </w:tc>
        <w:tc>
          <w:tcPr>
            <w:tcW w:w="904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Ashland Industries Deutschland GmbH, Paul-Thomas-Strasse 56, Düsseldorf, D-40599 Germany</w:t>
            </w:r>
          </w:p>
        </w:tc>
      </w:tr>
      <w:tr>
        <w:trPr/>
        <w:tc>
          <w:tcPr>
            <w:tcW w:w="11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Tel:</w:t>
            </w:r>
          </w:p>
        </w:tc>
        <w:tc>
          <w:tcPr>
            <w:tcW w:w="904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+1 859.957.4548</w:t>
            </w:r>
          </w:p>
        </w:tc>
      </w:tr>
      <w:tr>
        <w:trPr/>
        <w:tc>
          <w:tcPr>
            <w:tcW w:w="11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Email:</w:t>
            </w:r>
          </w:p>
        </w:tc>
        <w:tc>
          <w:tcPr>
            <w:tcW w:w="904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4"/>
              </w:rPr>
            </w:pPr>
            <w:r>
              <w:rPr>
                <w:rFonts w:ascii="Times New Roman" w:hAnsi="Times New Roman"/>
                <w:sz w:val="24"/>
              </w:rPr>
              <w:t>KDHiggins@Ashland.com</w:t>
            </w:r>
            <w:r>
              <w:rPr>
                <w:rFonts w:ascii="Times New Roman" w:hAnsi="Times New Roman"/>
                <w:color w:val="253E6A"/>
                <w:sz w:val="24"/>
              </w:rPr>
              <w:t xml:space="preserve"> </w:t>
            </w:r>
          </w:p>
        </w:tc>
      </w:tr>
      <w:tr>
        <w:trPr/>
        <w:tc>
          <w:tcPr>
            <w:tcW w:w="11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Attention of:</w:t>
            </w:r>
          </w:p>
        </w:tc>
        <w:tc>
          <w:tcPr>
            <w:tcW w:w="904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Kevin Higgins</w:t>
            </w:r>
          </w:p>
        </w:tc>
      </w:tr>
      <w:tr>
        <w:trPr/>
        <w:tc>
          <w:tcPr>
            <w:tcW w:w="10205" w:type="dxa"/>
            <w:gridSpan w:val="2"/>
            <w:tcBorders/>
            <w:tcMar>
              <w:top w:w="0" w:type="dxa"/>
              <w:left w:w="0" w:type="dxa"/>
              <w:bottom w:w="0" w:type="dxa"/>
              <w:right w:w="0" w:type="dxa"/>
            </w:tcMar>
            <w:vAlign w:val="center"/>
          </w:tcPr>
          <w:p>
            <w:pPr>
              <w:pStyle w:val="Heading2"/>
              <w:bidi w:val="0"/>
              <w:spacing w:before="360" w:after="283"/>
              <w:jc w:val="left"/>
              <w:rPr>
                <w:rFonts w:ascii="Times New Roman" w:hAnsi="Times New Roman"/>
                <w:color w:val="000000"/>
                <w:sz w:val="24"/>
              </w:rPr>
            </w:pPr>
            <w:r>
              <w:rPr>
                <w:rFonts w:ascii="Times New Roman" w:hAnsi="Times New Roman"/>
                <w:color w:val="000000"/>
                <w:sz w:val="24"/>
              </w:rPr>
              <w:t>Italian Originator</w:t>
            </w:r>
          </w:p>
        </w:tc>
      </w:tr>
      <w:tr>
        <w:trPr/>
        <w:tc>
          <w:tcPr>
            <w:tcW w:w="11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Address:</w:t>
            </w:r>
          </w:p>
        </w:tc>
        <w:tc>
          <w:tcPr>
            <w:tcW w:w="904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Ashland Industries Italia S.r.l., Via Ceresio 7, 20154 Milano, Italy</w:t>
            </w:r>
          </w:p>
        </w:tc>
      </w:tr>
      <w:tr>
        <w:trPr/>
        <w:tc>
          <w:tcPr>
            <w:tcW w:w="11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Tel:</w:t>
            </w:r>
          </w:p>
        </w:tc>
        <w:tc>
          <w:tcPr>
            <w:tcW w:w="904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+1 859.957.4548</w:t>
            </w:r>
          </w:p>
        </w:tc>
      </w:tr>
      <w:tr>
        <w:trPr/>
        <w:tc>
          <w:tcPr>
            <w:tcW w:w="11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Email:</w:t>
            </w:r>
          </w:p>
        </w:tc>
        <w:tc>
          <w:tcPr>
            <w:tcW w:w="904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4"/>
              </w:rPr>
            </w:pPr>
            <w:r>
              <w:rPr>
                <w:rFonts w:ascii="Times New Roman" w:hAnsi="Times New Roman"/>
                <w:sz w:val="24"/>
              </w:rPr>
              <w:t>KDHiggins@Ashland.com</w:t>
            </w:r>
          </w:p>
        </w:tc>
      </w:tr>
      <w:tr>
        <w:trPr/>
        <w:tc>
          <w:tcPr>
            <w:tcW w:w="11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Attention of:</w:t>
            </w:r>
          </w:p>
        </w:tc>
        <w:tc>
          <w:tcPr>
            <w:tcW w:w="904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Kevin Higgins</w:t>
            </w:r>
          </w:p>
        </w:tc>
      </w:tr>
    </w:tbl>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8"/>
        <w:gridCol w:w="8957"/>
      </w:tblGrid>
      <w:tr>
        <w:trPr/>
        <w:tc>
          <w:tcPr>
            <w:tcW w:w="1248" w:type="dxa"/>
            <w:tcBorders/>
            <w:vAlign w:val="center"/>
          </w:tcPr>
          <w:p>
            <w:pPr>
              <w:pStyle w:val="TableContents"/>
              <w:bidi w:val="0"/>
              <w:spacing w:before="0" w:after="283"/>
              <w:jc w:val="left"/>
              <w:rPr>
                <w:sz w:val="4"/>
                <w:szCs w:val="4"/>
              </w:rPr>
            </w:pPr>
            <w:r>
              <w:rPr>
                <w:sz w:val="4"/>
                <w:szCs w:val="4"/>
              </w:rPr>
            </w:r>
          </w:p>
        </w:tc>
        <w:tc>
          <w:tcPr>
            <w:tcW w:w="8957"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Heading2"/>
              <w:bidi w:val="0"/>
              <w:spacing w:before="360" w:after="283"/>
              <w:jc w:val="left"/>
              <w:rPr>
                <w:rFonts w:ascii="Times New Roman" w:hAnsi="Times New Roman"/>
                <w:color w:val="000000"/>
                <w:sz w:val="24"/>
              </w:rPr>
            </w:pPr>
            <w:r>
              <w:rPr>
                <w:rFonts w:ascii="Times New Roman" w:hAnsi="Times New Roman"/>
                <w:color w:val="000000"/>
                <w:sz w:val="24"/>
              </w:rPr>
              <w:t>Singaporean Originator</w:t>
            </w:r>
          </w:p>
        </w:tc>
      </w:tr>
      <w:tr>
        <w:trPr/>
        <w:tc>
          <w:tcPr>
            <w:tcW w:w="1248"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Address:</w:t>
            </w:r>
          </w:p>
        </w:tc>
        <w:tc>
          <w:tcPr>
            <w:tcW w:w="895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Ashland Specialty Chemical (Singapore) Pte. Ltd., 2 Venture Drive, #19-09/11, Vision Exchange, Singapore 608526</w:t>
            </w:r>
          </w:p>
        </w:tc>
      </w:tr>
      <w:tr>
        <w:trPr/>
        <w:tc>
          <w:tcPr>
            <w:tcW w:w="1248"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Tel:</w:t>
            </w:r>
          </w:p>
        </w:tc>
        <w:tc>
          <w:tcPr>
            <w:tcW w:w="895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+1 859.957.4548</w:t>
            </w:r>
          </w:p>
        </w:tc>
      </w:tr>
      <w:tr>
        <w:trPr/>
        <w:tc>
          <w:tcPr>
            <w:tcW w:w="1248"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Email:</w:t>
            </w:r>
          </w:p>
        </w:tc>
        <w:tc>
          <w:tcPr>
            <w:tcW w:w="895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4"/>
              </w:rPr>
            </w:pPr>
            <w:r>
              <w:rPr>
                <w:rFonts w:ascii="Times New Roman" w:hAnsi="Times New Roman"/>
                <w:sz w:val="24"/>
              </w:rPr>
              <w:t>KDHiggins@Ashland.com</w:t>
            </w:r>
          </w:p>
        </w:tc>
      </w:tr>
      <w:tr>
        <w:trPr/>
        <w:tc>
          <w:tcPr>
            <w:tcW w:w="1248"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Attention of:</w:t>
            </w:r>
          </w:p>
        </w:tc>
        <w:tc>
          <w:tcPr>
            <w:tcW w:w="895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Kevin Higgins</w:t>
            </w:r>
          </w:p>
        </w:tc>
      </w:tr>
      <w:tr>
        <w:trPr/>
        <w:tc>
          <w:tcPr>
            <w:tcW w:w="10205" w:type="dxa"/>
            <w:gridSpan w:val="2"/>
            <w:tcBorders/>
            <w:tcMar>
              <w:top w:w="0" w:type="dxa"/>
              <w:left w:w="0" w:type="dxa"/>
              <w:bottom w:w="0" w:type="dxa"/>
              <w:right w:w="0" w:type="dxa"/>
            </w:tcMar>
            <w:vAlign w:val="center"/>
          </w:tcPr>
          <w:p>
            <w:pPr>
              <w:pStyle w:val="Heading2"/>
              <w:bidi w:val="0"/>
              <w:spacing w:before="360" w:after="283"/>
              <w:jc w:val="left"/>
              <w:rPr>
                <w:rFonts w:ascii="Times New Roman" w:hAnsi="Times New Roman"/>
                <w:color w:val="000000"/>
                <w:sz w:val="24"/>
              </w:rPr>
            </w:pPr>
            <w:r>
              <w:rPr>
                <w:rFonts w:ascii="Times New Roman" w:hAnsi="Times New Roman"/>
                <w:color w:val="000000"/>
                <w:sz w:val="24"/>
              </w:rPr>
              <w:t>Spanish Originator</w:t>
            </w:r>
          </w:p>
        </w:tc>
      </w:tr>
      <w:tr>
        <w:trPr/>
        <w:tc>
          <w:tcPr>
            <w:tcW w:w="1248"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Address:</w:t>
            </w:r>
          </w:p>
        </w:tc>
        <w:tc>
          <w:tcPr>
            <w:tcW w:w="895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Ashland Specialties Hispania, S.L.U., Calle Diputación, 260, 08007, Barcelona (Spain)</w:t>
            </w:r>
          </w:p>
        </w:tc>
      </w:tr>
      <w:tr>
        <w:trPr/>
        <w:tc>
          <w:tcPr>
            <w:tcW w:w="1248"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Tel:</w:t>
            </w:r>
          </w:p>
        </w:tc>
        <w:tc>
          <w:tcPr>
            <w:tcW w:w="895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+1 859.957.4548</w:t>
            </w:r>
          </w:p>
        </w:tc>
      </w:tr>
      <w:tr>
        <w:trPr/>
        <w:tc>
          <w:tcPr>
            <w:tcW w:w="1248"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Email:</w:t>
            </w:r>
          </w:p>
        </w:tc>
        <w:tc>
          <w:tcPr>
            <w:tcW w:w="895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4"/>
              </w:rPr>
            </w:pPr>
            <w:r>
              <w:rPr>
                <w:rFonts w:ascii="Times New Roman" w:hAnsi="Times New Roman"/>
                <w:sz w:val="24"/>
              </w:rPr>
              <w:t>KDHiggins@Ashland.com</w:t>
            </w:r>
          </w:p>
        </w:tc>
      </w:tr>
      <w:tr>
        <w:trPr/>
        <w:tc>
          <w:tcPr>
            <w:tcW w:w="1248"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Attention of:</w:t>
            </w:r>
          </w:p>
        </w:tc>
        <w:tc>
          <w:tcPr>
            <w:tcW w:w="895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Kevin Higgins</w:t>
            </w:r>
          </w:p>
        </w:tc>
      </w:tr>
      <w:tr>
        <w:trPr/>
        <w:tc>
          <w:tcPr>
            <w:tcW w:w="10205" w:type="dxa"/>
            <w:gridSpan w:val="2"/>
            <w:tcBorders/>
            <w:tcMar>
              <w:top w:w="0" w:type="dxa"/>
              <w:left w:w="0" w:type="dxa"/>
              <w:bottom w:w="0" w:type="dxa"/>
              <w:right w:w="0" w:type="dxa"/>
            </w:tcMar>
            <w:vAlign w:val="center"/>
          </w:tcPr>
          <w:p>
            <w:pPr>
              <w:pStyle w:val="Heading2"/>
              <w:bidi w:val="0"/>
              <w:spacing w:before="360" w:after="283"/>
              <w:jc w:val="left"/>
              <w:rPr>
                <w:rFonts w:ascii="Times New Roman" w:hAnsi="Times New Roman"/>
                <w:color w:val="000000"/>
                <w:sz w:val="24"/>
              </w:rPr>
            </w:pPr>
            <w:r>
              <w:rPr>
                <w:rFonts w:ascii="Times New Roman" w:hAnsi="Times New Roman"/>
                <w:color w:val="000000"/>
                <w:sz w:val="24"/>
              </w:rPr>
              <w:t>Swiss Originator</w:t>
            </w:r>
          </w:p>
        </w:tc>
      </w:tr>
      <w:tr>
        <w:trPr/>
        <w:tc>
          <w:tcPr>
            <w:tcW w:w="1248"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Address:</w:t>
            </w:r>
          </w:p>
        </w:tc>
        <w:tc>
          <w:tcPr>
            <w:tcW w:w="895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Ashland Industries Europe GmbH, Rheinweg 11, 8200 Schaffhausen, Switzerland</w:t>
            </w:r>
          </w:p>
        </w:tc>
      </w:tr>
      <w:tr>
        <w:trPr/>
        <w:tc>
          <w:tcPr>
            <w:tcW w:w="1248"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Tel:</w:t>
            </w:r>
          </w:p>
        </w:tc>
        <w:tc>
          <w:tcPr>
            <w:tcW w:w="895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+41(0)52 560 5524</w:t>
            </w:r>
          </w:p>
        </w:tc>
      </w:tr>
      <w:tr>
        <w:trPr/>
        <w:tc>
          <w:tcPr>
            <w:tcW w:w="1248"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Email:</w:t>
            </w:r>
          </w:p>
        </w:tc>
        <w:tc>
          <w:tcPr>
            <w:tcW w:w="895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4"/>
              </w:rPr>
            </w:pPr>
            <w:r>
              <w:rPr>
                <w:rFonts w:ascii="Times New Roman" w:hAnsi="Times New Roman"/>
                <w:sz w:val="24"/>
              </w:rPr>
              <w:t>CTecuatl@Ashland.com</w:t>
            </w:r>
          </w:p>
        </w:tc>
      </w:tr>
      <w:tr>
        <w:trPr/>
        <w:tc>
          <w:tcPr>
            <w:tcW w:w="1248"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Attention of:</w:t>
            </w:r>
          </w:p>
        </w:tc>
        <w:tc>
          <w:tcPr>
            <w:tcW w:w="895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Christiaan Tecuatl</w:t>
            </w:r>
          </w:p>
        </w:tc>
      </w:tr>
      <w:tr>
        <w:trPr/>
        <w:tc>
          <w:tcPr>
            <w:tcW w:w="10205" w:type="dxa"/>
            <w:gridSpan w:val="2"/>
            <w:tcBorders/>
            <w:tcMar>
              <w:top w:w="0" w:type="dxa"/>
              <w:left w:w="0" w:type="dxa"/>
              <w:bottom w:w="0" w:type="dxa"/>
              <w:right w:w="0" w:type="dxa"/>
            </w:tcMar>
            <w:vAlign w:val="center"/>
          </w:tcPr>
          <w:p>
            <w:pPr>
              <w:pStyle w:val="Heading2"/>
              <w:bidi w:val="0"/>
              <w:spacing w:before="360" w:after="283"/>
              <w:jc w:val="left"/>
              <w:rPr>
                <w:rFonts w:ascii="Times New Roman" w:hAnsi="Times New Roman"/>
                <w:color w:val="000000"/>
                <w:sz w:val="24"/>
              </w:rPr>
            </w:pPr>
            <w:r>
              <w:rPr>
                <w:rFonts w:ascii="Times New Roman" w:hAnsi="Times New Roman"/>
                <w:color w:val="000000"/>
                <w:sz w:val="24"/>
              </w:rPr>
              <w:t>UK Originator</w:t>
            </w:r>
          </w:p>
        </w:tc>
      </w:tr>
      <w:tr>
        <w:trPr/>
        <w:tc>
          <w:tcPr>
            <w:tcW w:w="1248"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Address:</w:t>
            </w:r>
          </w:p>
        </w:tc>
        <w:tc>
          <w:tcPr>
            <w:tcW w:w="895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Ashland Specialties UK Limited, 30 Old Bailey, London, EC4M 7AU Tel: +1 859.957.4548</w:t>
            </w:r>
          </w:p>
        </w:tc>
      </w:tr>
      <w:tr>
        <w:trPr/>
        <w:tc>
          <w:tcPr>
            <w:tcW w:w="1248"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Email:</w:t>
            </w:r>
          </w:p>
        </w:tc>
        <w:tc>
          <w:tcPr>
            <w:tcW w:w="895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4"/>
              </w:rPr>
            </w:pPr>
            <w:r>
              <w:rPr>
                <w:rFonts w:ascii="Times New Roman" w:hAnsi="Times New Roman"/>
                <w:sz w:val="24"/>
              </w:rPr>
              <w:t>KDHiggins@Ashland.com</w:t>
            </w:r>
          </w:p>
        </w:tc>
      </w:tr>
      <w:tr>
        <w:trPr/>
        <w:tc>
          <w:tcPr>
            <w:tcW w:w="1248"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Attention of:</w:t>
            </w:r>
          </w:p>
        </w:tc>
        <w:tc>
          <w:tcPr>
            <w:tcW w:w="895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Kevin Higgins</w:t>
            </w:r>
          </w:p>
        </w:tc>
      </w:tr>
      <w:tr>
        <w:trPr/>
        <w:tc>
          <w:tcPr>
            <w:tcW w:w="10205" w:type="dxa"/>
            <w:gridSpan w:val="2"/>
            <w:tcBorders/>
            <w:tcMar>
              <w:top w:w="0" w:type="dxa"/>
              <w:left w:w="0" w:type="dxa"/>
              <w:bottom w:w="0" w:type="dxa"/>
              <w:right w:w="0" w:type="dxa"/>
            </w:tcMar>
            <w:vAlign w:val="center"/>
          </w:tcPr>
          <w:p>
            <w:pPr>
              <w:pStyle w:val="Heading2"/>
              <w:bidi w:val="0"/>
              <w:spacing w:before="360" w:after="283"/>
              <w:jc w:val="left"/>
              <w:rPr>
                <w:rFonts w:ascii="Times New Roman" w:hAnsi="Times New Roman"/>
                <w:color w:val="000000"/>
                <w:sz w:val="24"/>
              </w:rPr>
            </w:pPr>
            <w:r>
              <w:rPr>
                <w:rFonts w:ascii="Times New Roman" w:hAnsi="Times New Roman"/>
                <w:color w:val="000000"/>
                <w:sz w:val="24"/>
              </w:rPr>
              <w:t>Irish Originator</w:t>
            </w:r>
          </w:p>
        </w:tc>
      </w:tr>
      <w:tr>
        <w:trPr/>
        <w:tc>
          <w:tcPr>
            <w:tcW w:w="1248"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Address:</w:t>
            </w:r>
          </w:p>
        </w:tc>
        <w:tc>
          <w:tcPr>
            <w:tcW w:w="895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Ashland Specialties Ireland Limited, National Science Park, Building V, Tallaght, Dublin Road, Petitswood, Westmeath, Mullingar, Co., N91 F6PD, Ireland</w:t>
            </w:r>
          </w:p>
        </w:tc>
      </w:tr>
      <w:tr>
        <w:trPr/>
        <w:tc>
          <w:tcPr>
            <w:tcW w:w="1248"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Tel:</w:t>
            </w:r>
          </w:p>
        </w:tc>
        <w:tc>
          <w:tcPr>
            <w:tcW w:w="895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+1 859.957.4548</w:t>
            </w:r>
          </w:p>
        </w:tc>
      </w:tr>
      <w:tr>
        <w:trPr/>
        <w:tc>
          <w:tcPr>
            <w:tcW w:w="1248"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Email:</w:t>
            </w:r>
          </w:p>
        </w:tc>
        <w:tc>
          <w:tcPr>
            <w:tcW w:w="895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4"/>
              </w:rPr>
            </w:pPr>
            <w:r>
              <w:rPr>
                <w:rFonts w:ascii="Times New Roman" w:hAnsi="Times New Roman"/>
                <w:sz w:val="24"/>
              </w:rPr>
              <w:t>KDHiggins@Ashland.com</w:t>
            </w:r>
          </w:p>
        </w:tc>
      </w:tr>
      <w:tr>
        <w:trPr/>
        <w:tc>
          <w:tcPr>
            <w:tcW w:w="1248"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Attention of:</w:t>
            </w:r>
          </w:p>
        </w:tc>
        <w:tc>
          <w:tcPr>
            <w:tcW w:w="895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Kevin Higgins</w:t>
            </w:r>
          </w:p>
        </w:tc>
      </w:tr>
      <w:tr>
        <w:trPr/>
        <w:tc>
          <w:tcPr>
            <w:tcW w:w="10205" w:type="dxa"/>
            <w:gridSpan w:val="2"/>
            <w:tcBorders/>
            <w:tcMar>
              <w:top w:w="0" w:type="dxa"/>
              <w:left w:w="0" w:type="dxa"/>
              <w:bottom w:w="0" w:type="dxa"/>
              <w:right w:w="0" w:type="dxa"/>
            </w:tcMar>
            <w:vAlign w:val="center"/>
          </w:tcPr>
          <w:p>
            <w:pPr>
              <w:pStyle w:val="Heading2"/>
              <w:bidi w:val="0"/>
              <w:spacing w:before="360" w:after="283"/>
              <w:jc w:val="left"/>
              <w:rPr>
                <w:rFonts w:ascii="Times New Roman" w:hAnsi="Times New Roman"/>
                <w:color w:val="000000"/>
                <w:sz w:val="24"/>
              </w:rPr>
            </w:pPr>
            <w:r>
              <w:rPr>
                <w:rFonts w:ascii="Times New Roman" w:hAnsi="Times New Roman"/>
                <w:color w:val="000000"/>
                <w:sz w:val="24"/>
              </w:rPr>
              <w:t>Administrative Agent</w:t>
            </w:r>
          </w:p>
        </w:tc>
      </w:tr>
      <w:tr>
        <w:trPr/>
        <w:tc>
          <w:tcPr>
            <w:tcW w:w="1248"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Address:</w:t>
            </w:r>
          </w:p>
        </w:tc>
        <w:tc>
          <w:tcPr>
            <w:tcW w:w="895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Bank of America, N.A.</w:t>
            </w:r>
          </w:p>
        </w:tc>
      </w:tr>
    </w:tbl>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257" w:type="dxa"/>
        <w:jc w:val="left"/>
        <w:tblInd w:w="0" w:type="dxa"/>
        <w:tblLayout w:type="fixed"/>
        <w:tblCellMar>
          <w:top w:w="28" w:type="dxa"/>
          <w:left w:w="28" w:type="dxa"/>
          <w:bottom w:w="28" w:type="dxa"/>
          <w:right w:w="28" w:type="dxa"/>
        </w:tblCellMar>
      </w:tblPr>
      <w:tblGrid>
        <w:gridCol w:w="1411"/>
        <w:gridCol w:w="7846"/>
      </w:tblGrid>
      <w:tr>
        <w:trPr/>
        <w:tc>
          <w:tcPr>
            <w:tcW w:w="1411"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r>
      <w:tr>
        <w:trPr/>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 xml:space="preserve">Trade Receivables Securitization Finance </w:t>
              <w:br/>
              <w:t xml:space="preserve">13510 Ballantyne Corporate PI </w:t>
              <w:br/>
              <w:t>Charlotte, NC 28277</w:t>
            </w:r>
          </w:p>
        </w:tc>
      </w:tr>
      <w:tr>
        <w:trPr/>
        <w:tc>
          <w:tcPr>
            <w:tcW w:w="1411"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Tel:</w:t>
            </w:r>
          </w:p>
        </w:tc>
        <w:tc>
          <w:tcPr>
            <w:tcW w:w="7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980-683-4585</w:t>
            </w:r>
          </w:p>
        </w:tc>
      </w:tr>
      <w:tr>
        <w:trPr/>
        <w:tc>
          <w:tcPr>
            <w:tcW w:w="1411"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Email:</w:t>
            </w:r>
          </w:p>
        </w:tc>
        <w:tc>
          <w:tcPr>
            <w:tcW w:w="7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4"/>
              </w:rPr>
            </w:pPr>
            <w:r>
              <w:rPr>
                <w:rFonts w:ascii="Times New Roman" w:hAnsi="Times New Roman"/>
                <w:sz w:val="24"/>
              </w:rPr>
              <w:t>christopher.haynes@bofa.com</w:t>
            </w:r>
          </w:p>
        </w:tc>
      </w:tr>
      <w:tr>
        <w:trPr/>
        <w:tc>
          <w:tcPr>
            <w:tcW w:w="1411"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Attention of:</w:t>
            </w:r>
          </w:p>
        </w:tc>
        <w:tc>
          <w:tcPr>
            <w:tcW w:w="7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Chris Haynes</w:t>
            </w:r>
          </w:p>
        </w:tc>
      </w:tr>
      <w:tr>
        <w:trPr/>
        <w:tc>
          <w:tcPr>
            <w:tcW w:w="9257" w:type="dxa"/>
            <w:gridSpan w:val="2"/>
            <w:tcBorders/>
            <w:tcMar>
              <w:top w:w="0" w:type="dxa"/>
              <w:left w:w="0" w:type="dxa"/>
              <w:bottom w:w="0" w:type="dxa"/>
              <w:right w:w="0" w:type="dxa"/>
            </w:tcMar>
            <w:vAlign w:val="center"/>
          </w:tcPr>
          <w:p>
            <w:pPr>
              <w:pStyle w:val="Heading2"/>
              <w:bidi w:val="0"/>
              <w:spacing w:before="360" w:after="283"/>
              <w:jc w:val="left"/>
              <w:rPr>
                <w:rFonts w:ascii="Times New Roman" w:hAnsi="Times New Roman"/>
                <w:color w:val="000000"/>
                <w:sz w:val="24"/>
              </w:rPr>
            </w:pPr>
            <w:r>
              <w:rPr>
                <w:rFonts w:ascii="Times New Roman" w:hAnsi="Times New Roman"/>
                <w:color w:val="000000"/>
                <w:sz w:val="24"/>
              </w:rPr>
              <w:t>Mont Blanc Capital Corp</w:t>
            </w:r>
          </w:p>
        </w:tc>
      </w:tr>
      <w:tr>
        <w:trPr/>
        <w:tc>
          <w:tcPr>
            <w:tcW w:w="1411"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Address:</w:t>
            </w:r>
          </w:p>
        </w:tc>
        <w:tc>
          <w:tcPr>
            <w:tcW w:w="7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c/o ING Capital LLC</w:t>
              <w:br/>
              <w:t>1133 Avenue of the Americas</w:t>
              <w:br/>
              <w:t> New York, NY 10036</w:t>
              <w:br/>
              <w:t>United States of America</w:t>
            </w:r>
          </w:p>
        </w:tc>
      </w:tr>
      <w:tr>
        <w:trPr/>
        <w:tc>
          <w:tcPr>
            <w:tcW w:w="1411"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Email:</w:t>
            </w:r>
          </w:p>
        </w:tc>
        <w:tc>
          <w:tcPr>
            <w:tcW w:w="7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4"/>
              </w:rPr>
            </w:pPr>
            <w:r>
              <w:rPr>
                <w:rFonts w:ascii="Times New Roman" w:hAnsi="Times New Roman"/>
                <w:sz w:val="24"/>
              </w:rPr>
              <w:t>violene.willems@ing.com</w:t>
            </w:r>
            <w:r>
              <w:rPr>
                <w:rFonts w:ascii="Times New Roman" w:hAnsi="Times New Roman"/>
                <w:color w:val="253E6A"/>
                <w:sz w:val="24"/>
              </w:rPr>
              <w:t xml:space="preserve"> </w:t>
            </w:r>
            <w:r>
              <w:rPr>
                <w:rFonts w:ascii="Times New Roman" w:hAnsi="Times New Roman"/>
                <w:color w:val="000000"/>
                <w:sz w:val="24"/>
              </w:rPr>
              <w:t xml:space="preserve">and </w:t>
            </w:r>
            <w:r>
              <w:rPr>
                <w:rFonts w:ascii="Times New Roman" w:hAnsi="Times New Roman"/>
                <w:sz w:val="24"/>
              </w:rPr>
              <w:t>dennis.strid@ing.com</w:t>
            </w:r>
          </w:p>
        </w:tc>
      </w:tr>
      <w:tr>
        <w:trPr/>
        <w:tc>
          <w:tcPr>
            <w:tcW w:w="1411"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Attention of:</w:t>
            </w:r>
          </w:p>
        </w:tc>
        <w:tc>
          <w:tcPr>
            <w:tcW w:w="7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Global Conduit Administration</w:t>
            </w:r>
          </w:p>
        </w:tc>
      </w:tr>
      <w:tr>
        <w:trPr/>
        <w:tc>
          <w:tcPr>
            <w:tcW w:w="9257" w:type="dxa"/>
            <w:gridSpan w:val="2"/>
            <w:tcBorders/>
            <w:tcMar>
              <w:top w:w="0" w:type="dxa"/>
              <w:left w:w="0" w:type="dxa"/>
              <w:bottom w:w="0" w:type="dxa"/>
              <w:right w:w="0" w:type="dxa"/>
            </w:tcMar>
            <w:vAlign w:val="center"/>
          </w:tcPr>
          <w:p>
            <w:pPr>
              <w:pStyle w:val="Heading2"/>
              <w:bidi w:val="0"/>
              <w:spacing w:before="360" w:after="283"/>
              <w:jc w:val="left"/>
              <w:rPr>
                <w:rFonts w:ascii="Times New Roman" w:hAnsi="Times New Roman"/>
                <w:color w:val="000000"/>
                <w:sz w:val="24"/>
              </w:rPr>
            </w:pPr>
            <w:r>
              <w:rPr>
                <w:rFonts w:ascii="Times New Roman" w:hAnsi="Times New Roman"/>
                <w:color w:val="000000"/>
                <w:sz w:val="24"/>
              </w:rPr>
              <w:t>Bank of America Europe DAC</w:t>
            </w:r>
          </w:p>
        </w:tc>
      </w:tr>
      <w:tr>
        <w:trPr/>
        <w:tc>
          <w:tcPr>
            <w:tcW w:w="1411"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Address:</w:t>
            </w:r>
          </w:p>
        </w:tc>
        <w:tc>
          <w:tcPr>
            <w:tcW w:w="7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Two Park Place</w:t>
            </w:r>
          </w:p>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Hatch Street Dublin, DO2 NP94 Ireland</w:t>
            </w:r>
          </w:p>
        </w:tc>
      </w:tr>
      <w:tr>
        <w:trPr/>
        <w:tc>
          <w:tcPr>
            <w:tcW w:w="1411"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Tel:</w:t>
            </w:r>
          </w:p>
        </w:tc>
        <w:tc>
          <w:tcPr>
            <w:tcW w:w="7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980-683-4585</w:t>
            </w:r>
          </w:p>
        </w:tc>
      </w:tr>
      <w:tr>
        <w:trPr/>
        <w:tc>
          <w:tcPr>
            <w:tcW w:w="1411"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Email:</w:t>
            </w:r>
          </w:p>
        </w:tc>
        <w:tc>
          <w:tcPr>
            <w:tcW w:w="7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4"/>
              </w:rPr>
            </w:pPr>
            <w:r>
              <w:rPr>
                <w:rFonts w:ascii="Times New Roman" w:hAnsi="Times New Roman"/>
                <w:sz w:val="24"/>
              </w:rPr>
              <w:t>christopher.haynes@bofa.com</w:t>
            </w:r>
          </w:p>
        </w:tc>
      </w:tr>
      <w:tr>
        <w:trPr/>
        <w:tc>
          <w:tcPr>
            <w:tcW w:w="1411"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Attention of:</w:t>
            </w:r>
          </w:p>
        </w:tc>
        <w:tc>
          <w:tcPr>
            <w:tcW w:w="7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Chris Haynes</w:t>
            </w:r>
          </w:p>
        </w:tc>
      </w:tr>
      <w:tr>
        <w:trPr/>
        <w:tc>
          <w:tcPr>
            <w:tcW w:w="9257" w:type="dxa"/>
            <w:gridSpan w:val="2"/>
            <w:tcBorders/>
            <w:tcMar>
              <w:top w:w="0" w:type="dxa"/>
              <w:left w:w="0" w:type="dxa"/>
              <w:bottom w:w="0" w:type="dxa"/>
              <w:right w:w="0" w:type="dxa"/>
            </w:tcMar>
            <w:vAlign w:val="center"/>
          </w:tcPr>
          <w:p>
            <w:pPr>
              <w:pStyle w:val="Heading2"/>
              <w:bidi w:val="0"/>
              <w:spacing w:before="360" w:after="283"/>
              <w:jc w:val="left"/>
              <w:rPr>
                <w:rFonts w:ascii="Times New Roman" w:hAnsi="Times New Roman"/>
                <w:color w:val="000000"/>
                <w:sz w:val="24"/>
              </w:rPr>
            </w:pPr>
            <w:r>
              <w:rPr>
                <w:rFonts w:ascii="Times New Roman" w:hAnsi="Times New Roman"/>
                <w:color w:val="000000"/>
                <w:sz w:val="24"/>
              </w:rPr>
              <w:t>ING Belgium SA/NV</w:t>
            </w:r>
          </w:p>
        </w:tc>
      </w:tr>
      <w:tr>
        <w:trPr/>
        <w:tc>
          <w:tcPr>
            <w:tcW w:w="1411"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Address:</w:t>
            </w:r>
          </w:p>
        </w:tc>
        <w:tc>
          <w:tcPr>
            <w:tcW w:w="7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Avenue Marnix, 24.</w:t>
            </w:r>
          </w:p>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1000 Brussels, Belgium</w:t>
            </w:r>
          </w:p>
        </w:tc>
      </w:tr>
      <w:tr>
        <w:trPr/>
        <w:tc>
          <w:tcPr>
            <w:tcW w:w="1411"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Email:</w:t>
            </w:r>
          </w:p>
        </w:tc>
        <w:tc>
          <w:tcPr>
            <w:tcW w:w="7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4"/>
              </w:rPr>
            </w:pPr>
            <w:r>
              <w:rPr>
                <w:rFonts w:ascii="Times New Roman" w:hAnsi="Times New Roman"/>
                <w:sz w:val="24"/>
              </w:rPr>
              <w:t>violene.willems@ing.com</w:t>
            </w:r>
            <w:r>
              <w:rPr>
                <w:rFonts w:ascii="Times New Roman" w:hAnsi="Times New Roman"/>
                <w:color w:val="000000"/>
                <w:sz w:val="24"/>
              </w:rPr>
              <w:t xml:space="preserve">, </w:t>
            </w:r>
            <w:r>
              <w:rPr>
                <w:rFonts w:ascii="Times New Roman" w:hAnsi="Times New Roman"/>
                <w:sz w:val="24"/>
              </w:rPr>
              <w:t>meryem.merizak@ing.com</w:t>
            </w:r>
            <w:r>
              <w:rPr>
                <w:rFonts w:ascii="Times New Roman" w:hAnsi="Times New Roman"/>
                <w:color w:val="253E6A"/>
                <w:sz w:val="24"/>
              </w:rPr>
              <w:t xml:space="preserve"> </w:t>
            </w:r>
            <w:r>
              <w:rPr>
                <w:rFonts w:ascii="Times New Roman" w:hAnsi="Times New Roman"/>
                <w:color w:val="000000"/>
                <w:sz w:val="24"/>
              </w:rPr>
              <w:t xml:space="preserve">and </w:t>
            </w:r>
            <w:r>
              <w:rPr>
                <w:rFonts w:ascii="Times New Roman" w:hAnsi="Times New Roman"/>
                <w:sz w:val="24"/>
              </w:rPr>
              <w:t>Gert.Sonck@ing.com</w:t>
            </w:r>
          </w:p>
        </w:tc>
      </w:tr>
      <w:tr>
        <w:trPr/>
        <w:tc>
          <w:tcPr>
            <w:tcW w:w="1411" w:type="dxa"/>
            <w:tcBorders/>
            <w:tcMar>
              <w:top w:w="0" w:type="dxa"/>
              <w:left w:w="0" w:type="dxa"/>
              <w:bottom w:w="0" w:type="dxa"/>
              <w:right w:w="0" w:type="dxa"/>
            </w:tcMar>
            <w:vAlign w:val="center"/>
          </w:tcPr>
          <w:p>
            <w:pPr>
              <w:pStyle w:val="Heading2"/>
              <w:bidi w:val="0"/>
              <w:spacing w:before="120" w:after="283"/>
              <w:jc w:val="left"/>
              <w:rPr>
                <w:rFonts w:ascii="Times New Roman" w:hAnsi="Times New Roman"/>
                <w:color w:val="000000"/>
                <w:sz w:val="24"/>
              </w:rPr>
            </w:pPr>
            <w:r>
              <w:rPr>
                <w:rFonts w:ascii="Times New Roman" w:hAnsi="Times New Roman"/>
                <w:color w:val="000000"/>
                <w:sz w:val="24"/>
              </w:rPr>
              <w:t>Attention of:</w:t>
            </w:r>
          </w:p>
        </w:tc>
        <w:tc>
          <w:tcPr>
            <w:tcW w:w="78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Violène Willems / Meryem Merizak / Gert Sonck</w:t>
            </w:r>
          </w:p>
        </w:tc>
      </w:tr>
    </w:tbl>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4"/>
        </w:rPr>
      </w:pPr>
      <w:r>
        <w:rPr>
          <w:rFonts w:ascii="Times New Roman" w:hAnsi="Times New Roman"/>
          <w:color w:val="000000"/>
          <w:sz w:val="24"/>
        </w:rPr>
        <w:t>SCHEDULE 7</w:t>
      </w:r>
    </w:p>
    <w:p>
      <w:pPr>
        <w:pStyle w:val="TextBody"/>
        <w:bidi w:val="0"/>
        <w:jc w:val="center"/>
        <w:rPr>
          <w:rFonts w:ascii="Times New Roman" w:hAnsi="Times New Roman"/>
          <w:sz w:val="24"/>
        </w:rPr>
      </w:pPr>
      <w:r>
        <w:rPr>
          <w:rFonts w:ascii="Times New Roman" w:hAnsi="Times New Roman"/>
          <w:b/>
          <w:color w:val="000000"/>
          <w:sz w:val="24"/>
        </w:rPr>
        <w:t>BAIL</w:t>
      </w:r>
      <w:r>
        <w:rPr>
          <w:rFonts w:ascii="Times New Roman" w:hAnsi="Times New Roman"/>
          <w:color w:val="000000"/>
          <w:sz w:val="24"/>
        </w:rPr>
        <w:t xml:space="preserve"> </w:t>
      </w:r>
      <w:r>
        <w:rPr>
          <w:rFonts w:ascii="Times New Roman" w:hAnsi="Times New Roman"/>
          <w:b/>
          <w:color w:val="000000"/>
          <w:sz w:val="24"/>
        </w:rPr>
        <w:t>IN</w:t>
      </w:r>
      <w:r>
        <w:rPr>
          <w:rFonts w:ascii="Times New Roman" w:hAnsi="Times New Roman"/>
          <w:color w:val="000000"/>
          <w:sz w:val="24"/>
        </w:rPr>
        <w:t xml:space="preserve"> </w:t>
      </w:r>
      <w:r>
        <w:rPr>
          <w:rFonts w:ascii="Times New Roman" w:hAnsi="Times New Roman"/>
          <w:b/>
          <w:color w:val="000000"/>
          <w:sz w:val="24"/>
        </w:rPr>
        <w:t>RECOGNITION</w:t>
      </w:r>
      <w:r>
        <w:rPr>
          <w:rFonts w:ascii="Times New Roman" w:hAnsi="Times New Roman"/>
          <w:color w:val="000000"/>
          <w:sz w:val="24"/>
        </w:rPr>
        <w:t xml:space="preserve"> </w:t>
      </w:r>
      <w:r>
        <w:rPr>
          <w:rFonts w:ascii="Times New Roman" w:hAnsi="Times New Roman"/>
          <w:b/>
          <w:color w:val="000000"/>
          <w:sz w:val="24"/>
        </w:rPr>
        <w:t>PROVISIONS</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 xml:space="preserve">Contractual Recognition of Bail-In: </w:t>
      </w:r>
      <w:r>
        <w:rPr>
          <w:rFonts w:ascii="Times New Roman" w:hAnsi="Times New Roman"/>
          <w:color w:val="000000"/>
          <w:sz w:val="24"/>
        </w:rPr>
        <w:t>Notwithstanding any other term of any Transaction Document or any other agreement, arrangement or understanding between the Parties, each Party acknowledges and accepts that any liability of any Party to any other Party under or in connection with the Transaction Documents may be subject to Bail-In Action by the relevant Resolution Authority and acknowledges and accepts to be bound by the effect 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Bail-In Action in relation to any such liability, including (without limitation):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a reduction, in full or in part, in the principal amount, or outstanding amount due (including any accrued but unpaid interest) in respect of any such liability;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a conversion of all, or part of, any such liability into ownership interests or other instruments of ownership that may be issued to, or conferred on, it;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cancellation of any such liability;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variation of any term of any Finance Document to the extent necessary to give effect to any Bail-In Action in relation to any such liability.</w:t>
      </w:r>
    </w:p>
    <w:p>
      <w:pPr>
        <w:pStyle w:val="TextBody"/>
        <w:bidi w:val="0"/>
        <w:spacing w:before="240" w:after="283"/>
        <w:jc w:val="both"/>
        <w:rPr>
          <w:rFonts w:ascii="Times New Roman" w:hAnsi="Times New Roman"/>
          <w:sz w:val="22"/>
        </w:rPr>
      </w:pPr>
      <w:r>
        <w:rPr>
          <w:rFonts w:ascii="Times New Roman" w:hAnsi="Times New Roman"/>
          <w:color w:val="000000"/>
          <w:sz w:val="24"/>
          <w:u w:val="single"/>
        </w:rPr>
        <w:t>Definitions:</w:t>
      </w:r>
      <w:r>
        <w:rPr>
          <w:rFonts w:ascii="Times New Roman" w:hAnsi="Times New Roman"/>
          <w:color w:val="000000"/>
          <w:sz w:val="22"/>
          <w:u w:val="single"/>
        </w:rPr>
        <w:t xml:space="preserve"> </w:t>
      </w:r>
      <w:r>
        <w:rPr>
          <w:rFonts w:ascii="Times New Roman" w:hAnsi="Times New Roman"/>
          <w:color w:val="000000"/>
          <w:sz w:val="24"/>
        </w:rPr>
        <w:t>In</w:t>
      </w:r>
      <w:r>
        <w:rPr>
          <w:rFonts w:ascii="Times New Roman" w:hAnsi="Times New Roman"/>
          <w:color w:val="000000"/>
          <w:sz w:val="22"/>
        </w:rPr>
        <w:t xml:space="preserve"> </w:t>
      </w:r>
      <w:r>
        <w:rPr>
          <w:rFonts w:ascii="Times New Roman" w:hAnsi="Times New Roman"/>
          <w:color w:val="000000"/>
          <w:sz w:val="24"/>
        </w:rPr>
        <w:t>this</w:t>
      </w:r>
      <w:r>
        <w:rPr>
          <w:rFonts w:ascii="Times New Roman" w:hAnsi="Times New Roman"/>
          <w:color w:val="000000"/>
          <w:sz w:val="22"/>
        </w:rPr>
        <w:t xml:space="preserve"> Schedule 7</w:t>
      </w:r>
    </w:p>
    <w:p>
      <w:pPr>
        <w:pStyle w:val="TextBody"/>
        <w:bidi w:val="0"/>
        <w:spacing w:before="240" w:after="283"/>
        <w:jc w:val="both"/>
        <w:rPr/>
      </w:pPr>
      <w:r>
        <w:rPr>
          <w:color w:val="000000"/>
        </w:rPr>
        <w:t>“</w:t>
      </w:r>
      <w:r>
        <w:rPr>
          <w:rFonts w:ascii="Times New Roman" w:hAnsi="Times New Roman"/>
          <w:color w:val="000000"/>
          <w:sz w:val="24"/>
          <w:u w:val="single"/>
        </w:rPr>
        <w:t>Article 55 BRRD</w:t>
      </w:r>
      <w:r>
        <w:rPr>
          <w:rFonts w:ascii="Times New Roman" w:hAnsi="Times New Roman"/>
          <w:color w:val="000000"/>
          <w:sz w:val="24"/>
        </w:rPr>
        <w:t>” means Article 55 of Directive 2014/59/EU establishing a framework for the recovery and resolution of credit institutions and investment firms.</w:t>
      </w:r>
    </w:p>
    <w:p>
      <w:pPr>
        <w:pStyle w:val="TextBody"/>
        <w:bidi w:val="0"/>
        <w:spacing w:before="240" w:after="283"/>
        <w:jc w:val="both"/>
        <w:rPr/>
      </w:pPr>
      <w:r>
        <w:rPr>
          <w:color w:val="000000"/>
        </w:rPr>
        <w:t>“</w:t>
      </w:r>
      <w:r>
        <w:rPr>
          <w:rFonts w:ascii="Times New Roman" w:hAnsi="Times New Roman"/>
          <w:color w:val="000000"/>
          <w:sz w:val="24"/>
          <w:u w:val="single"/>
        </w:rPr>
        <w:t>Bail-In Action</w:t>
      </w:r>
      <w:r>
        <w:rPr>
          <w:rFonts w:ascii="Times New Roman" w:hAnsi="Times New Roman"/>
          <w:color w:val="000000"/>
          <w:sz w:val="24"/>
        </w:rPr>
        <w:t>” means the exercise of any Write-down and Conversion Powers.</w:t>
      </w:r>
    </w:p>
    <w:p>
      <w:pPr>
        <w:pStyle w:val="TextBody"/>
        <w:bidi w:val="0"/>
        <w:spacing w:before="240" w:after="283"/>
        <w:jc w:val="both"/>
        <w:rPr/>
      </w:pPr>
      <w:r>
        <w:rPr>
          <w:color w:val="000000"/>
        </w:rPr>
        <w:t>“</w:t>
      </w:r>
      <w:r>
        <w:rPr>
          <w:rFonts w:ascii="Times New Roman" w:hAnsi="Times New Roman"/>
          <w:color w:val="000000"/>
          <w:sz w:val="24"/>
          <w:u w:val="single"/>
        </w:rPr>
        <w:t>Bail-In Legislation</w:t>
      </w:r>
      <w:r>
        <w:rPr>
          <w:rFonts w:ascii="Times New Roman" w:hAnsi="Times New Roman"/>
          <w:color w:val="000000"/>
          <w:sz w:val="24"/>
        </w:rPr>
        <w:t>” means: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relation to an EEA Member Country which has implemented, or which at any time implements, Article 55 BRRD, the relevant implementing law or regulation as described in the EU Bail-In Legislation Schedule from time to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relation to any state other than (i) an EEA Member Country and (ii) the United Kingdom, any analogous law or regulation from time to time which requires contractual recognition of any Write-down and Conversion Powers contained in that law or regulation; and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relation to the United Kingdom, the UK Bail-In Legislation.</w:t>
      </w:r>
    </w:p>
    <w:p>
      <w:pPr>
        <w:pStyle w:val="TextBody"/>
        <w:bidi w:val="0"/>
        <w:spacing w:before="240" w:after="283"/>
        <w:jc w:val="left"/>
        <w:rPr/>
      </w:pPr>
      <w:r>
        <w:rPr>
          <w:color w:val="000000"/>
        </w:rPr>
        <w:t>“</w:t>
      </w:r>
      <w:r>
        <w:rPr>
          <w:rFonts w:ascii="Times New Roman" w:hAnsi="Times New Roman"/>
          <w:color w:val="000000"/>
          <w:sz w:val="24"/>
          <w:u w:val="single"/>
        </w:rPr>
        <w:t>EEA Member Country</w:t>
      </w:r>
      <w:r>
        <w:rPr>
          <w:rFonts w:ascii="Times New Roman" w:hAnsi="Times New Roman"/>
          <w:color w:val="000000"/>
          <w:sz w:val="24"/>
        </w:rPr>
        <w:t>” means any member state of the European Union, Iceland, Liechtenstein and Norway.</w:t>
      </w:r>
    </w:p>
    <w:p>
      <w:pPr>
        <w:pStyle w:val="TextBody"/>
        <w:bidi w:val="0"/>
        <w:spacing w:before="240" w:after="283"/>
        <w:jc w:val="left"/>
        <w:rPr/>
      </w:pPr>
      <w:r>
        <w:rPr>
          <w:color w:val="000000"/>
        </w:rPr>
        <w:t>“</w:t>
      </w:r>
      <w:r>
        <w:rPr>
          <w:rFonts w:ascii="Times New Roman" w:hAnsi="Times New Roman"/>
          <w:color w:val="000000"/>
          <w:sz w:val="24"/>
          <w:u w:val="single"/>
        </w:rPr>
        <w:t>EU Bail-In Legislation Schedule</w:t>
      </w:r>
      <w:r>
        <w:rPr>
          <w:rFonts w:ascii="Times New Roman" w:hAnsi="Times New Roman"/>
          <w:color w:val="000000"/>
          <w:sz w:val="24"/>
        </w:rPr>
        <w:t>” means the document described as such and published by the Loan Market Association (or any successor person) from time to time.</w:t>
      </w:r>
    </w:p>
    <w:p>
      <w:pPr>
        <w:pStyle w:val="TextBody"/>
        <w:bidi w:val="0"/>
        <w:spacing w:before="240" w:after="283"/>
        <w:jc w:val="both"/>
        <w:rPr/>
      </w:pPr>
      <w:r>
        <w:rPr>
          <w:color w:val="000000"/>
        </w:rPr>
        <w:t>“</w:t>
      </w:r>
      <w:r>
        <w:rPr>
          <w:rFonts w:ascii="Times New Roman" w:hAnsi="Times New Roman"/>
          <w:color w:val="000000"/>
          <w:sz w:val="24"/>
          <w:u w:val="single"/>
        </w:rPr>
        <w:t>Resolution Authority</w:t>
      </w:r>
      <w:r>
        <w:rPr>
          <w:rFonts w:ascii="Times New Roman" w:hAnsi="Times New Roman"/>
          <w:color w:val="000000"/>
          <w:sz w:val="24"/>
        </w:rPr>
        <w:t>” means any body which has authority to exercise any Write-down and Conversion Powers.</w:t>
      </w:r>
    </w:p>
    <w:p>
      <w:pPr>
        <w:pStyle w:val="TextBody"/>
        <w:bidi w:val="0"/>
        <w:spacing w:before="240" w:after="283"/>
        <w:jc w:val="both"/>
        <w:rPr/>
      </w:pPr>
      <w:r>
        <w:rPr>
          <w:color w:val="000000"/>
        </w:rPr>
        <w:t>“</w:t>
      </w:r>
      <w:r>
        <w:rPr>
          <w:rFonts w:ascii="Times New Roman" w:hAnsi="Times New Roman"/>
          <w:color w:val="000000"/>
          <w:sz w:val="24"/>
          <w:u w:val="single"/>
        </w:rPr>
        <w:t>UK Bail-In Legislation</w:t>
      </w:r>
      <w:r>
        <w:rPr>
          <w:rFonts w:ascii="Times New Roman" w:hAnsi="Times New Roman"/>
          <w:color w:val="000000"/>
          <w:sz w:val="24"/>
        </w:rPr>
        <w:t>” means Part I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w:t>
      </w:r>
    </w:p>
    <w:p>
      <w:pPr>
        <w:pStyle w:val="TextBody"/>
        <w:bidi w:val="0"/>
        <w:spacing w:before="240" w:after="283"/>
        <w:jc w:val="both"/>
        <w:rPr/>
      </w:pPr>
      <w:r>
        <w:rPr>
          <w:color w:val="000000"/>
        </w:rPr>
        <w:t>“</w:t>
      </w:r>
      <w:r>
        <w:rPr>
          <w:rFonts w:ascii="Times New Roman" w:hAnsi="Times New Roman"/>
          <w:color w:val="000000"/>
          <w:sz w:val="24"/>
          <w:u w:val="single"/>
        </w:rPr>
        <w:t>Write-down and Conversion Powers</w:t>
      </w:r>
      <w:r>
        <w:rPr>
          <w:rFonts w:ascii="Times New Roman" w:hAnsi="Times New Roman"/>
          <w:color w:val="000000"/>
          <w:sz w:val="24"/>
        </w:rPr>
        <w:t>” means: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relation to any Bail-In Legislation described in the EU Bail-In Legislation Schedule from time to time, the powers described as such in relation to that Bail-In Legislation in the EU Bail-In Legislation Schedule;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relation to any other applicable Bail-In Legislation (other than the UK Bail-In Legislation):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any powers under that Bail-In Legislation to cancel, transfer or dilute ownership interests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ownership interests,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(ii) any similar or analogous powers under that Bail-In Legislation;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in relation to any UK Bail-In Legislation: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 any powers under that UK Bail-In Legislation to cancel, transfer or dilute ownership interests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ownership interests, securities or obligations of that person or any other person, to provide that any such contract or instrument is to have effect as if a right had been exercised under it or to suspend any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obligation in respect of that liability or any of the powers under that UK Bail-In Legislation that are related to or ancillary to any of those powers;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any similar or analogous powers under that UK Bail-In Legislation.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left"/>
        <w:rPr>
          <w:rFonts w:ascii="Times New Roman" w:hAnsi="Times New Roman"/>
          <w:color w:val="000000"/>
          <w:sz w:val="24"/>
        </w:rPr>
      </w:pPr>
      <w:r>
        <w:rPr>
          <w:rFonts w:ascii="Times New Roman" w:hAnsi="Times New Roman"/>
          <w:color w:val="000000"/>
          <w:sz w:val="24"/>
        </w:rPr>
        <w:t>EXECUTION OF THE MASTER FRAMEWORK AGREEMENT: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7778" w:type="dxa"/>
        <w:jc w:val="left"/>
        <w:tblInd w:w="0" w:type="dxa"/>
        <w:tblLayout w:type="fixed"/>
        <w:tblCellMar>
          <w:top w:w="28" w:type="dxa"/>
          <w:left w:w="28" w:type="dxa"/>
          <w:bottom w:w="28" w:type="dxa"/>
          <w:right w:w="28" w:type="dxa"/>
        </w:tblCellMar>
      </w:tblPr>
      <w:tblGrid>
        <w:gridCol w:w="5086"/>
        <w:gridCol w:w="329"/>
        <w:gridCol w:w="146"/>
        <w:gridCol w:w="2026"/>
        <w:gridCol w:w="191"/>
      </w:tblGrid>
      <w:tr>
        <w:trPr/>
        <w:tc>
          <w:tcPr>
            <w:tcW w:w="508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5" w:type="dxa"/>
            <w:gridSpan w:val="2"/>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rPr>
              <w:t>SIGNED</w:t>
            </w:r>
            <w:r>
              <w:rPr>
                <w:rFonts w:ascii="Times New Roman" w:hAnsi="Times New Roman"/>
                <w:color w:val="000000"/>
                <w:sz w:val="24"/>
              </w:rPr>
              <w:t xml:space="preserve"> </w:t>
            </w:r>
            <w:r>
              <w:rPr>
                <w:rFonts w:ascii="Times New Roman" w:hAnsi="Times New Roman"/>
                <w:b/>
                <w:color w:val="000000"/>
                <w:sz w:val="24"/>
              </w:rPr>
              <w:t>AND</w:t>
            </w:r>
            <w:r>
              <w:rPr>
                <w:rFonts w:ascii="Times New Roman" w:hAnsi="Times New Roman"/>
                <w:color w:val="000000"/>
                <w:sz w:val="24"/>
              </w:rPr>
              <w:t xml:space="preserve"> </w:t>
            </w:r>
            <w:r>
              <w:rPr>
                <w:rFonts w:ascii="Times New Roman" w:hAnsi="Times New Roman"/>
                <w:b/>
                <w:color w:val="000000"/>
                <w:sz w:val="24"/>
              </w:rPr>
              <w:t>DELIVERED</w:t>
            </w:r>
            <w:r>
              <w:rPr>
                <w:rFonts w:ascii="Times New Roman" w:hAnsi="Times New Roman"/>
                <w:color w:val="000000"/>
                <w:sz w:val="24"/>
              </w:rPr>
              <w:t xml:space="preserve"> as a </w:t>
            </w:r>
            <w:r>
              <w:rPr>
                <w:rFonts w:ascii="Times New Roman" w:hAnsi="Times New Roman"/>
                <w:b/>
                <w:color w:val="000000"/>
                <w:sz w:val="24"/>
              </w:rPr>
              <w:t>DEED</w:t>
            </w:r>
          </w:p>
          <w:p>
            <w:pPr>
              <w:pStyle w:val="TableContents"/>
              <w:bidi w:val="0"/>
              <w:spacing w:before="0" w:after="283"/>
              <w:jc w:val="left"/>
              <w:rPr>
                <w:rFonts w:ascii="Times New Roman" w:hAnsi="Times New Roman"/>
                <w:sz w:val="24"/>
              </w:rPr>
            </w:pPr>
            <w:r>
              <w:rPr>
                <w:rFonts w:ascii="Times New Roman" w:hAnsi="Times New Roman"/>
                <w:color w:val="000000"/>
                <w:sz w:val="24"/>
              </w:rPr>
              <w:t xml:space="preserve">for and on behalf of </w:t>
            </w:r>
            <w:r>
              <w:rPr>
                <w:rFonts w:ascii="Times New Roman" w:hAnsi="Times New Roman"/>
                <w:b/>
                <w:color w:val="000000"/>
                <w:sz w:val="24"/>
              </w:rPr>
              <w:t>ASHLAND</w:t>
            </w:r>
            <w:r>
              <w:rPr>
                <w:rFonts w:ascii="Times New Roman" w:hAnsi="Times New Roman"/>
                <w:color w:val="000000"/>
                <w:sz w:val="24"/>
              </w:rPr>
              <w:t xml:space="preserve"> </w:t>
            </w:r>
            <w:r>
              <w:rPr>
                <w:rFonts w:ascii="Times New Roman" w:hAnsi="Times New Roman"/>
                <w:b/>
                <w:color w:val="000000"/>
                <w:sz w:val="24"/>
              </w:rPr>
              <w:t>INTERNATIONAL</w:t>
              <w:br/>
              <w:t>RECEIVABLES DESIGNATED ACTIVITY</w:t>
              <w:br/>
              <w:t>COMPANY</w:t>
            </w:r>
            <w:r>
              <w:rPr>
                <w:rFonts w:ascii="Times New Roman" w:hAnsi="Times New Roman"/>
                <w:color w:val="000000"/>
                <w:sz w:val="24"/>
              </w:rPr>
              <w:t xml:space="preserve"> as the Seller by its lawfully appointed</w:t>
              <w:br/>
              <w:t>attorney in the presence of: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86" w:type="dxa"/>
            <w:tcBorders/>
            <w:tcMar>
              <w:top w:w="0" w:type="dxa"/>
              <w:left w:w="0" w:type="dxa"/>
              <w:bottom w:w="0" w:type="dxa"/>
              <w:right w:w="0" w:type="dxa"/>
            </w:tcMar>
            <w:vAlign w:val="center"/>
          </w:tcPr>
          <w:p>
            <w:pPr>
              <w:pStyle w:val="TableContents"/>
              <w:bidi w:val="0"/>
              <w:spacing w:before="40" w:after="283"/>
              <w:jc w:val="left"/>
              <w:rPr/>
            </w:pPr>
            <w:r>
              <w:rPr/>
              <w:t> </w:t>
            </w:r>
          </w:p>
        </w:tc>
        <w:tc>
          <w:tcPr>
            <w:tcW w:w="329"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Attorney signature</w:t>
            </w:r>
          </w:p>
        </w:tc>
        <w:tc>
          <w:tcPr>
            <w:tcW w:w="191" w:type="dxa"/>
            <w:tcBorders/>
            <w:tcMar>
              <w:top w:w="0" w:type="dxa"/>
              <w:left w:w="0" w:type="dxa"/>
              <w:bottom w:w="0" w:type="dxa"/>
              <w:right w:w="0" w:type="dxa"/>
            </w:tcMar>
            <w:vAlign w:val="center"/>
          </w:tcPr>
          <w:p>
            <w:pPr>
              <w:pStyle w:val="TableContents"/>
              <w:bidi w:val="0"/>
              <w:spacing w:before="40" w:after="283"/>
              <w:jc w:val="left"/>
              <w:rPr/>
            </w:pPr>
            <w:r>
              <w:rPr/>
              <w:t> </w:t>
            </w:r>
          </w:p>
        </w:tc>
      </w:tr>
      <w:tr>
        <w:trPr/>
        <w:tc>
          <w:tcPr>
            <w:tcW w:w="5086" w:type="dxa"/>
            <w:tcBorders/>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8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(Witness’ Signature)</w:t>
            </w:r>
          </w:p>
        </w:tc>
        <w:tc>
          <w:tcPr>
            <w:tcW w:w="329"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Print Attorney name</w:t>
            </w:r>
          </w:p>
        </w:tc>
        <w:tc>
          <w:tcPr>
            <w:tcW w:w="191" w:type="dxa"/>
            <w:tcBorders/>
            <w:tcMar>
              <w:top w:w="0" w:type="dxa"/>
              <w:left w:w="0" w:type="dxa"/>
              <w:bottom w:w="0" w:type="dxa"/>
              <w:right w:w="0" w:type="dxa"/>
            </w:tcMar>
            <w:vAlign w:val="center"/>
          </w:tcPr>
          <w:p>
            <w:pPr>
              <w:pStyle w:val="TableContents"/>
              <w:bidi w:val="0"/>
              <w:spacing w:before="40" w:after="283"/>
              <w:jc w:val="left"/>
              <w:rPr/>
            </w:pPr>
            <w:r>
              <w:rPr/>
              <w:t> </w:t>
            </w:r>
          </w:p>
        </w:tc>
      </w:tr>
      <w:tr>
        <w:trPr/>
        <w:tc>
          <w:tcPr>
            <w:tcW w:w="5086" w:type="dxa"/>
            <w:tcBorders/>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(Witness’ Name)</w:t>
            </w:r>
          </w:p>
        </w:tc>
        <w:tc>
          <w:tcPr>
            <w:tcW w:w="329"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40" w:after="283"/>
              <w:jc w:val="left"/>
              <w:rPr/>
            </w:pPr>
            <w:r>
              <w:rPr/>
              <w:t> </w:t>
            </w:r>
          </w:p>
        </w:tc>
        <w:tc>
          <w:tcPr>
            <w:tcW w:w="191" w:type="dxa"/>
            <w:tcBorders/>
            <w:tcMar>
              <w:top w:w="0" w:type="dxa"/>
              <w:left w:w="0" w:type="dxa"/>
              <w:bottom w:w="0" w:type="dxa"/>
              <w:right w:w="0" w:type="dxa"/>
            </w:tcMar>
            <w:vAlign w:val="center"/>
          </w:tcPr>
          <w:p>
            <w:pPr>
              <w:pStyle w:val="TableContents"/>
              <w:bidi w:val="0"/>
              <w:spacing w:before="40" w:after="283"/>
              <w:jc w:val="left"/>
              <w:rPr/>
            </w:pPr>
            <w:r>
              <w:rPr/>
              <w:t> </w:t>
            </w:r>
          </w:p>
        </w:tc>
      </w:tr>
      <w:tr>
        <w:trPr/>
        <w:tc>
          <w:tcPr>
            <w:tcW w:w="5086" w:type="dxa"/>
            <w:tcBorders/>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(Witness’ Address)</w:t>
            </w:r>
          </w:p>
        </w:tc>
        <w:tc>
          <w:tcPr>
            <w:tcW w:w="329"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40" w:after="283"/>
              <w:jc w:val="left"/>
              <w:rPr/>
            </w:pPr>
            <w:r>
              <w:rPr/>
              <w:t> </w:t>
            </w:r>
          </w:p>
        </w:tc>
        <w:tc>
          <w:tcPr>
            <w:tcW w:w="191" w:type="dxa"/>
            <w:tcBorders/>
            <w:tcMar>
              <w:top w:w="0" w:type="dxa"/>
              <w:left w:w="0" w:type="dxa"/>
              <w:bottom w:w="0" w:type="dxa"/>
              <w:right w:w="0" w:type="dxa"/>
            </w:tcMar>
            <w:vAlign w:val="center"/>
          </w:tcPr>
          <w:p>
            <w:pPr>
              <w:pStyle w:val="TableContents"/>
              <w:bidi w:val="0"/>
              <w:spacing w:before="40" w:after="283"/>
              <w:jc w:val="left"/>
              <w:rPr/>
            </w:pPr>
            <w:r>
              <w:rPr/>
              <w:t> </w:t>
            </w:r>
          </w:p>
        </w:tc>
      </w:tr>
      <w:tr>
        <w:trPr/>
        <w:tc>
          <w:tcPr>
            <w:tcW w:w="5086" w:type="dxa"/>
            <w:tcBorders/>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(Witness’ Occupation)</w:t>
            </w:r>
          </w:p>
        </w:tc>
        <w:tc>
          <w:tcPr>
            <w:tcW w:w="329"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40" w:after="283"/>
              <w:jc w:val="left"/>
              <w:rPr/>
            </w:pPr>
            <w:r>
              <w:rPr/>
              <w:t> </w:t>
            </w:r>
          </w:p>
        </w:tc>
        <w:tc>
          <w:tcPr>
            <w:tcW w:w="191" w:type="dxa"/>
            <w:tcBorders/>
            <w:tcMar>
              <w:top w:w="0" w:type="dxa"/>
              <w:left w:w="0" w:type="dxa"/>
              <w:bottom w:w="0" w:type="dxa"/>
              <w:right w:w="0" w:type="dxa"/>
            </w:tcMar>
            <w:vAlign w:val="center"/>
          </w:tcPr>
          <w:p>
            <w:pPr>
              <w:pStyle w:val="TableContents"/>
              <w:bidi w:val="0"/>
              <w:spacing w:before="4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5424" w:type="dxa"/>
        <w:jc w:val="left"/>
        <w:tblInd w:w="0" w:type="dxa"/>
        <w:tblLayout w:type="fixed"/>
        <w:tblCellMar>
          <w:top w:w="28" w:type="dxa"/>
          <w:left w:w="28" w:type="dxa"/>
          <w:bottom w:w="28" w:type="dxa"/>
          <w:right w:w="28" w:type="dxa"/>
        </w:tblCellMar>
      </w:tblPr>
      <w:tblGrid>
        <w:gridCol w:w="4351"/>
        <w:gridCol w:w="146"/>
        <w:gridCol w:w="736"/>
        <w:gridCol w:w="19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51" w:type="dxa"/>
            <w:vMerge w:val="restart"/>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rPr>
              <w:t>SIGNED</w:t>
            </w:r>
            <w:r>
              <w:rPr>
                <w:rFonts w:ascii="Times New Roman" w:hAnsi="Times New Roman"/>
                <w:color w:val="000000"/>
                <w:sz w:val="24"/>
              </w:rPr>
              <w:t xml:space="preserve"> </w:t>
            </w:r>
            <w:r>
              <w:rPr>
                <w:rFonts w:ascii="Times New Roman" w:hAnsi="Times New Roman"/>
                <w:b/>
                <w:color w:val="000000"/>
                <w:sz w:val="24"/>
              </w:rPr>
              <w:t>AND</w:t>
            </w:r>
            <w:r>
              <w:rPr>
                <w:rFonts w:ascii="Times New Roman" w:hAnsi="Times New Roman"/>
                <w:color w:val="000000"/>
                <w:sz w:val="24"/>
              </w:rPr>
              <w:t xml:space="preserve"> </w:t>
            </w:r>
            <w:r>
              <w:rPr>
                <w:rFonts w:ascii="Times New Roman" w:hAnsi="Times New Roman"/>
                <w:b/>
                <w:color w:val="000000"/>
                <w:sz w:val="24"/>
              </w:rPr>
              <w:t>DELIVERED</w:t>
            </w:r>
            <w:r>
              <w:rPr>
                <w:rFonts w:ascii="Times New Roman" w:hAnsi="Times New Roman"/>
                <w:color w:val="000000"/>
                <w:sz w:val="24"/>
              </w:rPr>
              <w:t xml:space="preserve"> as a </w:t>
            </w:r>
            <w:r>
              <w:rPr>
                <w:rFonts w:ascii="Times New Roman" w:hAnsi="Times New Roman"/>
                <w:b/>
                <w:color w:val="000000"/>
                <w:sz w:val="24"/>
              </w:rPr>
              <w:t>DEED</w:t>
            </w:r>
          </w:p>
          <w:p>
            <w:pPr>
              <w:pStyle w:val="TableContents"/>
              <w:bidi w:val="0"/>
              <w:spacing w:before="0" w:after="283"/>
              <w:jc w:val="left"/>
              <w:rPr>
                <w:rFonts w:ascii="Times New Roman" w:hAnsi="Times New Roman"/>
                <w:sz w:val="24"/>
              </w:rPr>
            </w:pPr>
            <w:r>
              <w:rPr>
                <w:rFonts w:ascii="Times New Roman" w:hAnsi="Times New Roman"/>
                <w:color w:val="000000"/>
                <w:sz w:val="24"/>
              </w:rPr>
              <w:t xml:space="preserve">for and on behalf of </w:t>
            </w:r>
            <w:r>
              <w:rPr>
                <w:rFonts w:ascii="Times New Roman" w:hAnsi="Times New Roman"/>
                <w:b/>
                <w:color w:val="000000"/>
                <w:sz w:val="24"/>
              </w:rPr>
              <w:t xml:space="preserve">ASHLAND INC. </w:t>
            </w:r>
            <w:r>
              <w:rPr>
                <w:rFonts w:ascii="Times New Roman" w:hAnsi="Times New Roman"/>
                <w:color w:val="000000"/>
                <w:sz w:val="24"/>
              </w:rPr>
              <w:t xml:space="preserve">as </w:t>
              <w:br/>
              <w:t>the Performance Guarantor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35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21"/>
        <w:gridCol w:w="146"/>
        <w:gridCol w:w="3646"/>
        <w:gridCol w:w="192"/>
      </w:tblGrid>
      <w:tr>
        <w:trPr/>
        <w:tc>
          <w:tcPr>
            <w:tcW w:w="6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6221"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rPr>
              <w:t>SIGNED</w:t>
            </w:r>
            <w:r>
              <w:rPr>
                <w:rFonts w:ascii="Times New Roman" w:hAnsi="Times New Roman"/>
                <w:color w:val="000000"/>
                <w:sz w:val="24"/>
              </w:rPr>
              <w:t xml:space="preserve"> </w:t>
            </w:r>
            <w:r>
              <w:rPr>
                <w:rFonts w:ascii="Times New Roman" w:hAnsi="Times New Roman"/>
                <w:b/>
                <w:color w:val="000000"/>
                <w:sz w:val="24"/>
              </w:rPr>
              <w:t>AND</w:t>
            </w:r>
            <w:r>
              <w:rPr>
                <w:rFonts w:ascii="Times New Roman" w:hAnsi="Times New Roman"/>
                <w:color w:val="000000"/>
                <w:sz w:val="24"/>
              </w:rPr>
              <w:t xml:space="preserve"> </w:t>
            </w:r>
            <w:r>
              <w:rPr>
                <w:rFonts w:ascii="Times New Roman" w:hAnsi="Times New Roman"/>
                <w:b/>
                <w:color w:val="000000"/>
                <w:sz w:val="24"/>
              </w:rPr>
              <w:t>DELIVERED</w:t>
            </w:r>
            <w:r>
              <w:rPr>
                <w:rFonts w:ascii="Times New Roman" w:hAnsi="Times New Roman"/>
                <w:color w:val="000000"/>
                <w:sz w:val="24"/>
              </w:rPr>
              <w:t xml:space="preserve"> as a </w:t>
            </w:r>
            <w:r>
              <w:rPr>
                <w:rFonts w:ascii="Times New Roman" w:hAnsi="Times New Roman"/>
                <w:b/>
                <w:color w:val="000000"/>
                <w:sz w:val="24"/>
              </w:rPr>
              <w:t>DEED</w:t>
            </w:r>
          </w:p>
          <w:p>
            <w:pPr>
              <w:pStyle w:val="TableContents"/>
              <w:bidi w:val="0"/>
              <w:spacing w:before="0" w:after="283"/>
              <w:jc w:val="left"/>
              <w:rPr>
                <w:rFonts w:ascii="Times New Roman" w:hAnsi="Times New Roman"/>
                <w:sz w:val="24"/>
              </w:rPr>
            </w:pPr>
            <w:r>
              <w:rPr>
                <w:rFonts w:ascii="Times New Roman" w:hAnsi="Times New Roman"/>
                <w:color w:val="000000"/>
                <w:sz w:val="24"/>
              </w:rPr>
              <w:t xml:space="preserve">for and on behalf of </w:t>
            </w:r>
            <w:r>
              <w:rPr>
                <w:rFonts w:ascii="Times New Roman" w:hAnsi="Times New Roman"/>
                <w:b/>
                <w:color w:val="000000"/>
                <w:sz w:val="24"/>
              </w:rPr>
              <w:t>ASHLAND</w:t>
            </w:r>
            <w:r>
              <w:rPr>
                <w:rFonts w:ascii="Times New Roman" w:hAnsi="Times New Roman"/>
                <w:color w:val="000000"/>
                <w:sz w:val="24"/>
              </w:rPr>
              <w:t xml:space="preserve"> </w:t>
            </w:r>
            <w:r>
              <w:rPr>
                <w:rFonts w:ascii="Times New Roman" w:hAnsi="Times New Roman"/>
                <w:b/>
                <w:color w:val="000000"/>
                <w:sz w:val="24"/>
              </w:rPr>
              <w:t>INDUSTRIES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22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FRANCE</w:t>
            </w:r>
            <w:r>
              <w:rPr>
                <w:rFonts w:ascii="Times New Roman" w:hAnsi="Times New Roman"/>
                <w:color w:val="000000"/>
                <w:sz w:val="24"/>
              </w:rPr>
              <w:t xml:space="preserve"> </w:t>
            </w:r>
            <w:r>
              <w:rPr>
                <w:rFonts w:ascii="Times New Roman" w:hAnsi="Times New Roman"/>
                <w:b/>
                <w:color w:val="000000"/>
                <w:sz w:val="24"/>
              </w:rPr>
              <w:t>SAS</w:t>
            </w:r>
            <w:r>
              <w:rPr>
                <w:rFonts w:ascii="Times New Roman" w:hAnsi="Times New Roman"/>
                <w:color w:val="000000"/>
                <w:sz w:val="24"/>
              </w:rPr>
              <w:t xml:space="preserve"> as the French Originator and French Sub-Servicer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By:</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2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Duly authorised for the purpose hereof</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37"/>
        <w:gridCol w:w="146"/>
        <w:gridCol w:w="730"/>
        <w:gridCol w:w="192"/>
      </w:tblGrid>
      <w:tr>
        <w:trPr/>
        <w:tc>
          <w:tcPr>
            <w:tcW w:w="91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9137"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rPr>
              <w:t>SIGNED</w:t>
            </w:r>
            <w:r>
              <w:rPr>
                <w:rFonts w:ascii="Times New Roman" w:hAnsi="Times New Roman"/>
                <w:color w:val="000000"/>
                <w:sz w:val="24"/>
              </w:rPr>
              <w:t xml:space="preserve"> </w:t>
            </w:r>
            <w:r>
              <w:rPr>
                <w:rFonts w:ascii="Times New Roman" w:hAnsi="Times New Roman"/>
                <w:b/>
                <w:color w:val="000000"/>
                <w:sz w:val="24"/>
              </w:rPr>
              <w:t>AND</w:t>
            </w:r>
            <w:r>
              <w:rPr>
                <w:rFonts w:ascii="Times New Roman" w:hAnsi="Times New Roman"/>
                <w:color w:val="000000"/>
                <w:sz w:val="24"/>
              </w:rPr>
              <w:t xml:space="preserve"> </w:t>
            </w:r>
            <w:r>
              <w:rPr>
                <w:rFonts w:ascii="Times New Roman" w:hAnsi="Times New Roman"/>
                <w:b/>
                <w:color w:val="000000"/>
                <w:sz w:val="24"/>
              </w:rPr>
              <w:t>DELIVERED</w:t>
            </w:r>
            <w:r>
              <w:rPr>
                <w:rFonts w:ascii="Times New Roman" w:hAnsi="Times New Roman"/>
                <w:color w:val="000000"/>
                <w:sz w:val="24"/>
              </w:rPr>
              <w:t xml:space="preserve"> as a </w:t>
            </w:r>
            <w:r>
              <w:rPr>
                <w:rFonts w:ascii="Times New Roman" w:hAnsi="Times New Roman"/>
                <w:b/>
                <w:color w:val="000000"/>
                <w:sz w:val="24"/>
              </w:rPr>
              <w:t>DEED</w:t>
            </w:r>
          </w:p>
          <w:p>
            <w:pPr>
              <w:pStyle w:val="TableContents"/>
              <w:bidi w:val="0"/>
              <w:spacing w:before="0" w:after="283"/>
              <w:jc w:val="left"/>
              <w:rPr>
                <w:rFonts w:ascii="Times New Roman" w:hAnsi="Times New Roman"/>
                <w:sz w:val="24"/>
              </w:rPr>
            </w:pPr>
            <w:r>
              <w:rPr>
                <w:rFonts w:ascii="Times New Roman" w:hAnsi="Times New Roman"/>
                <w:color w:val="000000"/>
                <w:sz w:val="24"/>
              </w:rPr>
              <w:t xml:space="preserve">for and on behalf of </w:t>
            </w:r>
            <w:r>
              <w:rPr>
                <w:rFonts w:ascii="Times New Roman" w:hAnsi="Times New Roman"/>
                <w:b/>
                <w:color w:val="000000"/>
                <w:sz w:val="24"/>
              </w:rPr>
              <w:t>ASHLAND</w:t>
            </w:r>
            <w:r>
              <w:rPr>
                <w:rFonts w:ascii="Times New Roman" w:hAnsi="Times New Roman"/>
                <w:color w:val="000000"/>
                <w:sz w:val="24"/>
              </w:rPr>
              <w:t xml:space="preserve"> </w:t>
            </w:r>
            <w:r>
              <w:rPr>
                <w:rFonts w:ascii="Times New Roman" w:hAnsi="Times New Roman"/>
                <w:b/>
                <w:color w:val="000000"/>
                <w:sz w:val="24"/>
              </w:rPr>
              <w:t>INDUSTRIES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9137"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DEUTSCHLAND</w:t>
            </w:r>
            <w:r>
              <w:rPr>
                <w:rFonts w:ascii="Times New Roman" w:hAnsi="Times New Roman"/>
                <w:color w:val="000000"/>
                <w:sz w:val="24"/>
              </w:rPr>
              <w:t xml:space="preserve"> </w:t>
            </w:r>
            <w:r>
              <w:rPr>
                <w:rFonts w:ascii="Times New Roman" w:hAnsi="Times New Roman"/>
                <w:b/>
                <w:color w:val="000000"/>
                <w:sz w:val="24"/>
              </w:rPr>
              <w:t>GMBH</w:t>
            </w:r>
            <w:r>
              <w:rPr>
                <w:rFonts w:ascii="Times New Roman" w:hAnsi="Times New Roman"/>
                <w:color w:val="000000"/>
                <w:sz w:val="24"/>
              </w:rPr>
              <w:t xml:space="preserve"> as the German Originator, German Sub-Servicer and Subordinated Lender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Name:</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37"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Title:</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91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Name:</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1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Title:</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404" w:type="dxa"/>
        <w:jc w:val="left"/>
        <w:tblInd w:w="0" w:type="dxa"/>
        <w:tblLayout w:type="fixed"/>
        <w:tblCellMar>
          <w:top w:w="28" w:type="dxa"/>
          <w:left w:w="28" w:type="dxa"/>
          <w:bottom w:w="28" w:type="dxa"/>
          <w:right w:w="28" w:type="dxa"/>
        </w:tblCellMar>
      </w:tblPr>
      <w:tblGrid>
        <w:gridCol w:w="6331"/>
        <w:gridCol w:w="146"/>
        <w:gridCol w:w="736"/>
        <w:gridCol w:w="191"/>
      </w:tblGrid>
      <w:tr>
        <w:trPr/>
        <w:tc>
          <w:tcPr>
            <w:tcW w:w="6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331"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rPr>
              <w:t>SIGNED</w:t>
            </w:r>
            <w:r>
              <w:rPr>
                <w:rFonts w:ascii="Times New Roman" w:hAnsi="Times New Roman"/>
                <w:color w:val="000000"/>
                <w:sz w:val="24"/>
              </w:rPr>
              <w:t xml:space="preserve"> </w:t>
            </w:r>
            <w:r>
              <w:rPr>
                <w:rFonts w:ascii="Times New Roman" w:hAnsi="Times New Roman"/>
                <w:b/>
                <w:color w:val="000000"/>
                <w:sz w:val="24"/>
              </w:rPr>
              <w:t>AND</w:t>
            </w:r>
            <w:r>
              <w:rPr>
                <w:rFonts w:ascii="Times New Roman" w:hAnsi="Times New Roman"/>
                <w:color w:val="000000"/>
                <w:sz w:val="24"/>
              </w:rPr>
              <w:t xml:space="preserve"> </w:t>
            </w:r>
            <w:r>
              <w:rPr>
                <w:rFonts w:ascii="Times New Roman" w:hAnsi="Times New Roman"/>
                <w:b/>
                <w:color w:val="000000"/>
                <w:sz w:val="24"/>
              </w:rPr>
              <w:t>DELIVERED</w:t>
            </w:r>
            <w:r>
              <w:rPr>
                <w:rFonts w:ascii="Times New Roman" w:hAnsi="Times New Roman"/>
                <w:color w:val="000000"/>
                <w:sz w:val="24"/>
              </w:rPr>
              <w:t xml:space="preserve"> as a </w:t>
            </w:r>
            <w:r>
              <w:rPr>
                <w:rFonts w:ascii="Times New Roman" w:hAnsi="Times New Roman"/>
                <w:b/>
                <w:color w:val="000000"/>
                <w:sz w:val="24"/>
              </w:rPr>
              <w:t>DEED</w:t>
            </w:r>
          </w:p>
          <w:p>
            <w:pPr>
              <w:pStyle w:val="TableContents"/>
              <w:bidi w:val="0"/>
              <w:spacing w:before="0" w:after="283"/>
              <w:jc w:val="left"/>
              <w:rPr>
                <w:rFonts w:ascii="Times New Roman" w:hAnsi="Times New Roman"/>
                <w:sz w:val="24"/>
              </w:rPr>
            </w:pPr>
            <w:r>
              <w:rPr>
                <w:rFonts w:ascii="Times New Roman" w:hAnsi="Times New Roman"/>
                <w:color w:val="000000"/>
                <w:sz w:val="24"/>
              </w:rPr>
              <w:t xml:space="preserve">for and on behalf of </w:t>
            </w:r>
            <w:r>
              <w:rPr>
                <w:rFonts w:ascii="Times New Roman" w:hAnsi="Times New Roman"/>
                <w:b/>
                <w:color w:val="000000"/>
                <w:sz w:val="24"/>
              </w:rPr>
              <w:t>ASHLAND</w:t>
            </w:r>
            <w:r>
              <w:rPr>
                <w:rFonts w:ascii="Times New Roman" w:hAnsi="Times New Roman"/>
                <w:color w:val="000000"/>
                <w:sz w:val="24"/>
              </w:rPr>
              <w:t xml:space="preserve"> </w:t>
            </w:r>
            <w:r>
              <w:rPr>
                <w:rFonts w:ascii="Times New Roman" w:hAnsi="Times New Roman"/>
                <w:b/>
                <w:color w:val="000000"/>
                <w:sz w:val="24"/>
              </w:rPr>
              <w:t>INDUSTRIES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33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ITALIA</w:t>
            </w:r>
            <w:r>
              <w:rPr>
                <w:rFonts w:ascii="Times New Roman" w:hAnsi="Times New Roman"/>
                <w:color w:val="000000"/>
                <w:sz w:val="24"/>
              </w:rPr>
              <w:t xml:space="preserve"> </w:t>
            </w:r>
            <w:r>
              <w:rPr>
                <w:rFonts w:ascii="Times New Roman" w:hAnsi="Times New Roman"/>
                <w:b/>
                <w:color w:val="000000"/>
                <w:sz w:val="24"/>
              </w:rPr>
              <w:t>S.R.L.</w:t>
            </w:r>
            <w:r>
              <w:rPr>
                <w:rFonts w:ascii="Times New Roman" w:hAnsi="Times New Roman"/>
                <w:color w:val="000000"/>
                <w:sz w:val="24"/>
              </w:rPr>
              <w:t xml:space="preserve"> as the Italian Originator and Italian Sub-Servicer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3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72"/>
        <w:gridCol w:w="519"/>
        <w:gridCol w:w="146"/>
        <w:gridCol w:w="1376"/>
        <w:gridCol w:w="192"/>
      </w:tblGrid>
      <w:tr>
        <w:trPr/>
        <w:tc>
          <w:tcPr>
            <w:tcW w:w="797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8491" w:type="dxa"/>
            <w:gridSpan w:val="2"/>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rPr>
              <w:t>SIGNED</w:t>
            </w:r>
            <w:r>
              <w:rPr>
                <w:rFonts w:ascii="Times New Roman" w:hAnsi="Times New Roman"/>
                <w:color w:val="000000"/>
                <w:sz w:val="24"/>
              </w:rPr>
              <w:t xml:space="preserve"> </w:t>
            </w:r>
            <w:r>
              <w:rPr>
                <w:rFonts w:ascii="Times New Roman" w:hAnsi="Times New Roman"/>
                <w:b/>
                <w:color w:val="000000"/>
                <w:sz w:val="24"/>
              </w:rPr>
              <w:t>AND</w:t>
            </w:r>
            <w:r>
              <w:rPr>
                <w:rFonts w:ascii="Times New Roman" w:hAnsi="Times New Roman"/>
                <w:color w:val="000000"/>
                <w:sz w:val="24"/>
              </w:rPr>
              <w:t xml:space="preserve"> </w:t>
            </w:r>
            <w:r>
              <w:rPr>
                <w:rFonts w:ascii="Times New Roman" w:hAnsi="Times New Roman"/>
                <w:b/>
                <w:color w:val="000000"/>
                <w:sz w:val="24"/>
              </w:rPr>
              <w:t>DELIVERED</w:t>
            </w:r>
            <w:r>
              <w:rPr>
                <w:rFonts w:ascii="Times New Roman" w:hAnsi="Times New Roman"/>
                <w:color w:val="000000"/>
                <w:sz w:val="24"/>
              </w:rPr>
              <w:t xml:space="preserve"> as a </w:t>
            </w:r>
            <w:r>
              <w:rPr>
                <w:rFonts w:ascii="Times New Roman" w:hAnsi="Times New Roman"/>
                <w:b/>
                <w:color w:val="000000"/>
                <w:sz w:val="24"/>
              </w:rPr>
              <w:t>DEED</w:t>
            </w:r>
          </w:p>
          <w:p>
            <w:pPr>
              <w:pStyle w:val="TableContents"/>
              <w:bidi w:val="0"/>
              <w:spacing w:before="0" w:after="283"/>
              <w:jc w:val="left"/>
              <w:rPr>
                <w:rFonts w:ascii="Times New Roman" w:hAnsi="Times New Roman"/>
                <w:sz w:val="24"/>
              </w:rPr>
            </w:pPr>
            <w:r>
              <w:rPr>
                <w:rFonts w:ascii="Times New Roman" w:hAnsi="Times New Roman"/>
                <w:color w:val="000000"/>
                <w:sz w:val="24"/>
              </w:rPr>
              <w:t xml:space="preserve">for and on behalf of </w:t>
            </w:r>
            <w:r>
              <w:rPr>
                <w:rFonts w:ascii="Times New Roman" w:hAnsi="Times New Roman"/>
                <w:b/>
                <w:color w:val="000000"/>
                <w:sz w:val="24"/>
              </w:rPr>
              <w:t>ASHLAND</w:t>
            </w:r>
            <w:r>
              <w:rPr>
                <w:rFonts w:ascii="Times New Roman" w:hAnsi="Times New Roman"/>
                <w:color w:val="000000"/>
                <w:sz w:val="24"/>
              </w:rPr>
              <w:t xml:space="preserve"> </w:t>
            </w:r>
            <w:r>
              <w:rPr>
                <w:rFonts w:ascii="Times New Roman" w:hAnsi="Times New Roman"/>
                <w:b/>
                <w:color w:val="000000"/>
                <w:sz w:val="24"/>
              </w:rPr>
              <w:t>SPECIALTY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491" w:type="dxa"/>
            <w:gridSpan w:val="2"/>
            <w:vMerge w:val="restart"/>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rPr>
              <w:t>CHEMICAL</w:t>
            </w:r>
            <w:r>
              <w:rPr>
                <w:rFonts w:ascii="Times New Roman" w:hAnsi="Times New Roman"/>
                <w:color w:val="000000"/>
                <w:sz w:val="24"/>
              </w:rPr>
              <w:t xml:space="preserve"> </w:t>
            </w:r>
            <w:r>
              <w:rPr>
                <w:rFonts w:ascii="Times New Roman" w:hAnsi="Times New Roman"/>
                <w:b/>
                <w:color w:val="000000"/>
                <w:sz w:val="24"/>
              </w:rPr>
              <w:t>(SINGAPORE)</w:t>
            </w:r>
            <w:r>
              <w:rPr>
                <w:rFonts w:ascii="Times New Roman" w:hAnsi="Times New Roman"/>
                <w:color w:val="000000"/>
                <w:sz w:val="24"/>
              </w:rPr>
              <w:t xml:space="preserve"> </w:t>
            </w:r>
            <w:r>
              <w:rPr>
                <w:rFonts w:ascii="Times New Roman" w:hAnsi="Times New Roman"/>
                <w:b/>
                <w:color w:val="000000"/>
                <w:sz w:val="24"/>
              </w:rPr>
              <w:t>PTE.</w:t>
            </w:r>
            <w:r>
              <w:rPr>
                <w:rFonts w:ascii="Times New Roman" w:hAnsi="Times New Roman"/>
                <w:color w:val="000000"/>
                <w:sz w:val="24"/>
              </w:rPr>
              <w:t xml:space="preserve"> </w:t>
            </w:r>
            <w:r>
              <w:rPr>
                <w:rFonts w:ascii="Times New Roman" w:hAnsi="Times New Roman"/>
                <w:b/>
                <w:color w:val="000000"/>
                <w:sz w:val="24"/>
              </w:rPr>
              <w:t>LTD</w:t>
            </w:r>
            <w:r>
              <w:rPr>
                <w:rFonts w:ascii="Times New Roman" w:hAnsi="Times New Roman"/>
                <w:color w:val="000000"/>
                <w:sz w:val="24"/>
              </w:rPr>
              <w:t xml:space="preserve"> as the</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Singaporean Originator and Singaporean Sub- Servicer, acting by a Director in the presence of: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Name:</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91" w:type="dxa"/>
            <w:gridSpan w:val="2"/>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Title: Director</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91" w:type="dxa"/>
            <w:gridSpan w:val="2"/>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2" w:type="dxa"/>
            <w:tcBorders/>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2" w:type="dxa"/>
            <w:tcBorders/>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2"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(Witness’ Signature)</w:t>
            </w:r>
          </w:p>
        </w:tc>
        <w:tc>
          <w:tcPr>
            <w:tcW w:w="5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2" w:type="dxa"/>
            <w:tcBorders/>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2"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(Witness’ Name)</w:t>
            </w:r>
          </w:p>
        </w:tc>
        <w:tc>
          <w:tcPr>
            <w:tcW w:w="5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2" w:type="dxa"/>
            <w:tcBorders/>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2"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(Witness’ Address)</w:t>
            </w:r>
          </w:p>
        </w:tc>
        <w:tc>
          <w:tcPr>
            <w:tcW w:w="5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2" w:type="dxa"/>
            <w:tcBorders/>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2"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(Witness’ Occupation)</w:t>
            </w:r>
          </w:p>
        </w:tc>
        <w:tc>
          <w:tcPr>
            <w:tcW w:w="5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20"/>
        <w:gridCol w:w="515"/>
        <w:gridCol w:w="146"/>
        <w:gridCol w:w="1632"/>
        <w:gridCol w:w="192"/>
      </w:tblGrid>
      <w:tr>
        <w:trPr/>
        <w:tc>
          <w:tcPr>
            <w:tcW w:w="772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8235" w:type="dxa"/>
            <w:gridSpan w:val="2"/>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rPr>
              <w:t>SIGNED</w:t>
            </w:r>
            <w:r>
              <w:rPr>
                <w:rFonts w:ascii="Times New Roman" w:hAnsi="Times New Roman"/>
                <w:color w:val="000000"/>
                <w:sz w:val="24"/>
              </w:rPr>
              <w:t xml:space="preserve"> </w:t>
            </w:r>
            <w:r>
              <w:rPr>
                <w:rFonts w:ascii="Times New Roman" w:hAnsi="Times New Roman"/>
                <w:b/>
                <w:color w:val="000000"/>
                <w:sz w:val="24"/>
              </w:rPr>
              <w:t>AND</w:t>
            </w:r>
            <w:r>
              <w:rPr>
                <w:rFonts w:ascii="Times New Roman" w:hAnsi="Times New Roman"/>
                <w:color w:val="000000"/>
                <w:sz w:val="24"/>
              </w:rPr>
              <w:t xml:space="preserve"> </w:t>
            </w:r>
            <w:r>
              <w:rPr>
                <w:rFonts w:ascii="Times New Roman" w:hAnsi="Times New Roman"/>
                <w:b/>
                <w:color w:val="000000"/>
                <w:sz w:val="24"/>
              </w:rPr>
              <w:t>DELIVERED</w:t>
            </w:r>
            <w:r>
              <w:rPr>
                <w:rFonts w:ascii="Times New Roman" w:hAnsi="Times New Roman"/>
                <w:color w:val="000000"/>
                <w:sz w:val="24"/>
              </w:rPr>
              <w:t xml:space="preserve"> as a </w:t>
            </w:r>
            <w:r>
              <w:rPr>
                <w:rFonts w:ascii="Times New Roman" w:hAnsi="Times New Roman"/>
                <w:b/>
                <w:color w:val="000000"/>
                <w:sz w:val="24"/>
              </w:rPr>
              <w:t>DEED</w:t>
            </w:r>
          </w:p>
          <w:p>
            <w:pPr>
              <w:pStyle w:val="TableContents"/>
              <w:bidi w:val="0"/>
              <w:spacing w:before="0" w:after="283"/>
              <w:jc w:val="left"/>
              <w:rPr>
                <w:rFonts w:ascii="Times New Roman" w:hAnsi="Times New Roman"/>
                <w:sz w:val="24"/>
              </w:rPr>
            </w:pPr>
            <w:r>
              <w:rPr>
                <w:rFonts w:ascii="Times New Roman" w:hAnsi="Times New Roman"/>
                <w:color w:val="000000"/>
                <w:sz w:val="24"/>
              </w:rPr>
              <w:t xml:space="preserve">for and on behalf of </w:t>
            </w:r>
            <w:r>
              <w:rPr>
                <w:rFonts w:ascii="Times New Roman" w:hAnsi="Times New Roman"/>
                <w:b/>
                <w:color w:val="000000"/>
                <w:sz w:val="24"/>
              </w:rPr>
              <w:t>ASHLAND SPECIALTIES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5" w:type="dxa"/>
            <w:gridSpan w:val="2"/>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HISPANIA,</w:t>
            </w:r>
            <w:r>
              <w:rPr>
                <w:rFonts w:ascii="Times New Roman" w:hAnsi="Times New Roman"/>
                <w:color w:val="000000"/>
                <w:sz w:val="24"/>
              </w:rPr>
              <w:t xml:space="preserve"> </w:t>
            </w:r>
            <w:r>
              <w:rPr>
                <w:rFonts w:ascii="Times New Roman" w:hAnsi="Times New Roman"/>
                <w:b/>
                <w:color w:val="000000"/>
                <w:sz w:val="24"/>
              </w:rPr>
              <w:t>S.L.U.</w:t>
            </w:r>
            <w:r>
              <w:rPr>
                <w:rFonts w:ascii="Times New Roman" w:hAnsi="Times New Roman"/>
                <w:color w:val="000000"/>
                <w:sz w:val="24"/>
              </w:rPr>
              <w:t xml:space="preserve"> as the Spanish Originator and Spanish Sub-Servicer by its lawfully appointed attorney in the presence of: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5" w:type="dxa"/>
            <w:gridSpan w:val="2"/>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5" w:type="dxa"/>
            <w:gridSpan w:val="2"/>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20" w:type="dxa"/>
            <w:tcBorders/>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720" w:type="dxa"/>
            <w:tcBorders/>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Attorney signature</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20" w:type="dxa"/>
            <w:tcBorders/>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20" w:type="dxa"/>
            <w:tcBorders/>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2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720"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(Witness’ Signature)</w:t>
            </w:r>
          </w:p>
        </w:tc>
        <w:tc>
          <w:tcPr>
            <w:tcW w:w="515"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632"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Print Attorney name</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20" w:type="dxa"/>
            <w:tcBorders/>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2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20"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(Witness’ Name)</w:t>
            </w:r>
          </w:p>
        </w:tc>
        <w:tc>
          <w:tcPr>
            <w:tcW w:w="5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20" w:type="dxa"/>
            <w:tcBorders/>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2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20"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(Witness’ Address)</w:t>
            </w:r>
          </w:p>
        </w:tc>
        <w:tc>
          <w:tcPr>
            <w:tcW w:w="5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20" w:type="dxa"/>
            <w:tcBorders/>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2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20"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(Witness’ Occupation)</w:t>
            </w:r>
          </w:p>
        </w:tc>
        <w:tc>
          <w:tcPr>
            <w:tcW w:w="51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584" w:type="dxa"/>
        <w:jc w:val="left"/>
        <w:tblInd w:w="0" w:type="dxa"/>
        <w:tblLayout w:type="fixed"/>
        <w:tblCellMar>
          <w:top w:w="28" w:type="dxa"/>
          <w:left w:w="28" w:type="dxa"/>
          <w:bottom w:w="28" w:type="dxa"/>
          <w:right w:w="28" w:type="dxa"/>
        </w:tblCellMar>
      </w:tblPr>
      <w:tblGrid>
        <w:gridCol w:w="6511"/>
        <w:gridCol w:w="146"/>
        <w:gridCol w:w="736"/>
        <w:gridCol w:w="191"/>
      </w:tblGrid>
      <w:tr>
        <w:trPr/>
        <w:tc>
          <w:tcPr>
            <w:tcW w:w="6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511"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rPr>
              <w:t>SIGNED</w:t>
            </w:r>
            <w:r>
              <w:rPr>
                <w:rFonts w:ascii="Times New Roman" w:hAnsi="Times New Roman"/>
                <w:color w:val="000000"/>
                <w:sz w:val="24"/>
              </w:rPr>
              <w:t xml:space="preserve"> </w:t>
            </w:r>
            <w:r>
              <w:rPr>
                <w:rFonts w:ascii="Times New Roman" w:hAnsi="Times New Roman"/>
                <w:b/>
                <w:color w:val="000000"/>
                <w:sz w:val="24"/>
              </w:rPr>
              <w:t>AND</w:t>
            </w:r>
            <w:r>
              <w:rPr>
                <w:rFonts w:ascii="Times New Roman" w:hAnsi="Times New Roman"/>
                <w:color w:val="000000"/>
                <w:sz w:val="24"/>
              </w:rPr>
              <w:t xml:space="preserve"> </w:t>
            </w:r>
            <w:r>
              <w:rPr>
                <w:rFonts w:ascii="Times New Roman" w:hAnsi="Times New Roman"/>
                <w:b/>
                <w:color w:val="000000"/>
                <w:sz w:val="24"/>
              </w:rPr>
              <w:t>DELIVERED</w:t>
            </w:r>
            <w:r>
              <w:rPr>
                <w:rFonts w:ascii="Times New Roman" w:hAnsi="Times New Roman"/>
                <w:color w:val="000000"/>
                <w:sz w:val="24"/>
              </w:rPr>
              <w:t xml:space="preserve"> as a </w:t>
            </w:r>
            <w:r>
              <w:rPr>
                <w:rFonts w:ascii="Times New Roman" w:hAnsi="Times New Roman"/>
                <w:b/>
                <w:color w:val="000000"/>
                <w:sz w:val="24"/>
              </w:rPr>
              <w:t>DEED</w:t>
            </w:r>
          </w:p>
          <w:p>
            <w:pPr>
              <w:pStyle w:val="TableContents"/>
              <w:bidi w:val="0"/>
              <w:spacing w:before="0" w:after="283"/>
              <w:jc w:val="left"/>
              <w:rPr>
                <w:rFonts w:ascii="Times New Roman" w:hAnsi="Times New Roman"/>
                <w:sz w:val="24"/>
              </w:rPr>
            </w:pPr>
            <w:r>
              <w:rPr>
                <w:rFonts w:ascii="Times New Roman" w:hAnsi="Times New Roman"/>
                <w:color w:val="000000"/>
                <w:sz w:val="24"/>
              </w:rPr>
              <w:t xml:space="preserve">for and on behalf of </w:t>
            </w:r>
            <w:r>
              <w:rPr>
                <w:rFonts w:ascii="Times New Roman" w:hAnsi="Times New Roman"/>
                <w:b/>
                <w:color w:val="000000"/>
                <w:sz w:val="24"/>
              </w:rPr>
              <w:t>ASHLAND</w:t>
            </w:r>
            <w:r>
              <w:rPr>
                <w:rFonts w:ascii="Times New Roman" w:hAnsi="Times New Roman"/>
                <w:color w:val="000000"/>
                <w:sz w:val="24"/>
              </w:rPr>
              <w:t xml:space="preserve"> </w:t>
            </w:r>
            <w:r>
              <w:rPr>
                <w:rFonts w:ascii="Times New Roman" w:hAnsi="Times New Roman"/>
                <w:b/>
                <w:color w:val="000000"/>
                <w:sz w:val="24"/>
              </w:rPr>
              <w:t>INDUSTRIES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51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EUROPE</w:t>
            </w:r>
            <w:r>
              <w:rPr>
                <w:rFonts w:ascii="Times New Roman" w:hAnsi="Times New Roman"/>
                <w:color w:val="000000"/>
                <w:sz w:val="24"/>
              </w:rPr>
              <w:t xml:space="preserve"> </w:t>
            </w:r>
            <w:r>
              <w:rPr>
                <w:rFonts w:ascii="Times New Roman" w:hAnsi="Times New Roman"/>
                <w:b/>
                <w:color w:val="000000"/>
                <w:sz w:val="24"/>
              </w:rPr>
              <w:t>GMBH</w:t>
            </w:r>
            <w:r>
              <w:rPr>
                <w:rFonts w:ascii="Times New Roman" w:hAnsi="Times New Roman"/>
                <w:color w:val="000000"/>
                <w:sz w:val="24"/>
              </w:rPr>
              <w:t xml:space="preserve"> as the Swiss Originator and Swiss Sub-Servicer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1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74"/>
        <w:gridCol w:w="520"/>
        <w:gridCol w:w="146"/>
        <w:gridCol w:w="1373"/>
        <w:gridCol w:w="192"/>
      </w:tblGrid>
      <w:tr>
        <w:trPr/>
        <w:tc>
          <w:tcPr>
            <w:tcW w:w="797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8494" w:type="dxa"/>
            <w:gridSpan w:val="2"/>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rPr>
              <w:t>SIGNED</w:t>
            </w:r>
            <w:r>
              <w:rPr>
                <w:rFonts w:ascii="Times New Roman" w:hAnsi="Times New Roman"/>
                <w:color w:val="000000"/>
                <w:sz w:val="24"/>
              </w:rPr>
              <w:t xml:space="preserve"> </w:t>
            </w:r>
            <w:r>
              <w:rPr>
                <w:rFonts w:ascii="Times New Roman" w:hAnsi="Times New Roman"/>
                <w:b/>
                <w:color w:val="000000"/>
                <w:sz w:val="24"/>
              </w:rPr>
              <w:t>AND</w:t>
            </w:r>
            <w:r>
              <w:rPr>
                <w:rFonts w:ascii="Times New Roman" w:hAnsi="Times New Roman"/>
                <w:color w:val="000000"/>
                <w:sz w:val="24"/>
              </w:rPr>
              <w:t xml:space="preserve"> </w:t>
            </w:r>
            <w:r>
              <w:rPr>
                <w:rFonts w:ascii="Times New Roman" w:hAnsi="Times New Roman"/>
                <w:b/>
                <w:color w:val="000000"/>
                <w:sz w:val="24"/>
              </w:rPr>
              <w:t>DELIVERED</w:t>
            </w:r>
            <w:r>
              <w:rPr>
                <w:rFonts w:ascii="Times New Roman" w:hAnsi="Times New Roman"/>
                <w:color w:val="000000"/>
                <w:sz w:val="24"/>
              </w:rPr>
              <w:t xml:space="preserve"> as a </w:t>
            </w:r>
            <w:r>
              <w:rPr>
                <w:rFonts w:ascii="Times New Roman" w:hAnsi="Times New Roman"/>
                <w:b/>
                <w:color w:val="000000"/>
                <w:sz w:val="24"/>
              </w:rPr>
              <w:t>DEED</w:t>
            </w:r>
          </w:p>
          <w:p>
            <w:pPr>
              <w:pStyle w:val="TableContents"/>
              <w:bidi w:val="0"/>
              <w:spacing w:before="0" w:after="283"/>
              <w:jc w:val="left"/>
              <w:rPr>
                <w:rFonts w:ascii="Times New Roman" w:hAnsi="Times New Roman"/>
                <w:sz w:val="24"/>
              </w:rPr>
            </w:pPr>
            <w:r>
              <w:rPr>
                <w:rFonts w:ascii="Times New Roman" w:hAnsi="Times New Roman"/>
                <w:color w:val="000000"/>
                <w:sz w:val="24"/>
              </w:rPr>
              <w:t xml:space="preserve">for and on behalf of </w:t>
            </w:r>
            <w:r>
              <w:rPr>
                <w:rFonts w:ascii="Times New Roman" w:hAnsi="Times New Roman"/>
                <w:b/>
                <w:color w:val="000000"/>
                <w:sz w:val="24"/>
              </w:rPr>
              <w:t>ASHLAND</w:t>
            </w:r>
            <w:r>
              <w:rPr>
                <w:rFonts w:ascii="Times New Roman" w:hAnsi="Times New Roman"/>
                <w:color w:val="000000"/>
                <w:sz w:val="24"/>
              </w:rPr>
              <w:t xml:space="preserve"> </w:t>
            </w:r>
            <w:r>
              <w:rPr>
                <w:rFonts w:ascii="Times New Roman" w:hAnsi="Times New Roman"/>
                <w:b/>
                <w:color w:val="000000"/>
                <w:sz w:val="24"/>
              </w:rPr>
              <w:t>SPECIALTIES</w:t>
            </w:r>
            <w:r>
              <w:rPr>
                <w:rFonts w:ascii="Times New Roman" w:hAnsi="Times New Roman"/>
                <w:color w:val="000000"/>
                <w:sz w:val="24"/>
              </w:rPr>
              <w:t xml:space="preserve"> </w:t>
            </w:r>
            <w:r>
              <w:rPr>
                <w:rFonts w:ascii="Times New Roman" w:hAnsi="Times New Roman"/>
                <w:b/>
                <w:color w:val="000000"/>
                <w:sz w:val="24"/>
              </w:rPr>
              <w:t>UK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494" w:type="dxa"/>
            <w:gridSpan w:val="2"/>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LIMITED</w:t>
            </w:r>
            <w:r>
              <w:rPr>
                <w:rFonts w:ascii="Times New Roman" w:hAnsi="Times New Roman"/>
                <w:color w:val="000000"/>
                <w:sz w:val="24"/>
              </w:rPr>
              <w:t xml:space="preserve"> as the UK Originator and UK Sub-Servicer, acting by a Director in the presence of: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Name:</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94" w:type="dxa"/>
            <w:gridSpan w:val="2"/>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Title: Director</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2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(Witness’ Signature)</w:t>
            </w:r>
          </w:p>
        </w:tc>
        <w:tc>
          <w:tcPr>
            <w:tcW w:w="5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2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(Witness’ Name)</w:t>
            </w:r>
          </w:p>
        </w:tc>
        <w:tc>
          <w:tcPr>
            <w:tcW w:w="5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2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(Witness’ Address)</w:t>
            </w:r>
          </w:p>
        </w:tc>
        <w:tc>
          <w:tcPr>
            <w:tcW w:w="5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4" w:type="dxa"/>
            <w:tcBorders/>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2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(Witness’ Occupation)</w:t>
            </w:r>
          </w:p>
        </w:tc>
        <w:tc>
          <w:tcPr>
            <w:tcW w:w="5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88"/>
        <w:gridCol w:w="533"/>
        <w:gridCol w:w="146"/>
        <w:gridCol w:w="1445"/>
        <w:gridCol w:w="193"/>
      </w:tblGrid>
      <w:tr>
        <w:trPr/>
        <w:tc>
          <w:tcPr>
            <w:tcW w:w="788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ind w:left="0" w:right="0" w:firstLine="23"/>
              <w:jc w:val="left"/>
              <w:rPr>
                <w:sz w:val="4"/>
                <w:szCs w:val="4"/>
              </w:rPr>
            </w:pPr>
            <w:r>
              <w:rPr>
                <w:sz w:val="4"/>
                <w:szCs w:val="4"/>
              </w:rPr>
            </w:r>
          </w:p>
        </w:tc>
      </w:tr>
      <w:tr>
        <w:trPr/>
        <w:tc>
          <w:tcPr>
            <w:tcW w:w="8421" w:type="dxa"/>
            <w:gridSpan w:val="2"/>
            <w:vMerge w:val="restart"/>
            <w:tcBorders/>
            <w:tcMar>
              <w:top w:w="0" w:type="dxa"/>
              <w:left w:w="0" w:type="dxa"/>
              <w:bottom w:w="0" w:type="dxa"/>
              <w:right w:w="0" w:type="dxa"/>
            </w:tcMar>
            <w:vAlign w:val="center"/>
          </w:tcPr>
          <w:p>
            <w:pPr>
              <w:pStyle w:val="TableContents"/>
              <w:bidi w:val="0"/>
              <w:spacing w:before="66" w:after="283"/>
              <w:ind w:left="0" w:right="0" w:firstLine="23"/>
              <w:jc w:val="left"/>
              <w:rPr>
                <w:rFonts w:ascii="Times New Roman" w:hAnsi="Times New Roman"/>
                <w:sz w:val="24"/>
              </w:rPr>
            </w:pPr>
            <w:r>
              <w:rPr>
                <w:rFonts w:ascii="Times New Roman" w:hAnsi="Times New Roman"/>
                <w:b/>
                <w:color w:val="000000"/>
                <w:sz w:val="24"/>
              </w:rPr>
              <w:t>SIGNED</w:t>
            </w:r>
            <w:r>
              <w:rPr>
                <w:rFonts w:ascii="Times New Roman" w:hAnsi="Times New Roman"/>
                <w:color w:val="000000"/>
                <w:sz w:val="24"/>
              </w:rPr>
              <w:t xml:space="preserve"> </w:t>
            </w:r>
            <w:r>
              <w:rPr>
                <w:rFonts w:ascii="Times New Roman" w:hAnsi="Times New Roman"/>
                <w:b/>
                <w:color w:val="000000"/>
                <w:sz w:val="24"/>
              </w:rPr>
              <w:t>AND</w:t>
            </w:r>
            <w:r>
              <w:rPr>
                <w:rFonts w:ascii="Times New Roman" w:hAnsi="Times New Roman"/>
                <w:color w:val="000000"/>
                <w:sz w:val="24"/>
              </w:rPr>
              <w:t xml:space="preserve"> </w:t>
            </w:r>
            <w:r>
              <w:rPr>
                <w:rFonts w:ascii="Times New Roman" w:hAnsi="Times New Roman"/>
                <w:b/>
                <w:color w:val="000000"/>
                <w:sz w:val="24"/>
              </w:rPr>
              <w:t>DELIVERED</w:t>
            </w:r>
            <w:r>
              <w:rPr>
                <w:rFonts w:ascii="Times New Roman" w:hAnsi="Times New Roman"/>
                <w:color w:val="000000"/>
                <w:sz w:val="24"/>
              </w:rPr>
              <w:t xml:space="preserve"> as a </w:t>
            </w:r>
            <w:r>
              <w:rPr>
                <w:rFonts w:ascii="Times New Roman" w:hAnsi="Times New Roman"/>
                <w:b/>
                <w:color w:val="000000"/>
                <w:sz w:val="24"/>
              </w:rPr>
              <w:t>DEED</w:t>
            </w:r>
          </w:p>
          <w:p>
            <w:pPr>
              <w:pStyle w:val="TableContents"/>
              <w:bidi w:val="0"/>
              <w:spacing w:before="43" w:after="283"/>
              <w:ind w:left="0" w:right="0" w:firstLine="23"/>
              <w:jc w:val="left"/>
              <w:rPr>
                <w:rFonts w:ascii="Times New Roman" w:hAnsi="Times New Roman"/>
                <w:sz w:val="24"/>
              </w:rPr>
            </w:pPr>
            <w:r>
              <w:rPr>
                <w:rFonts w:ascii="Times New Roman" w:hAnsi="Times New Roman"/>
                <w:color w:val="000000"/>
                <w:sz w:val="24"/>
              </w:rPr>
              <w:t xml:space="preserve">for and on behalf of </w:t>
            </w:r>
            <w:r>
              <w:rPr>
                <w:rFonts w:ascii="Times New Roman" w:hAnsi="Times New Roman"/>
                <w:b/>
                <w:color w:val="000000"/>
                <w:sz w:val="24"/>
              </w:rPr>
              <w:t>ASHLAND</w:t>
            </w:r>
            <w:r>
              <w:rPr>
                <w:rFonts w:ascii="Times New Roman" w:hAnsi="Times New Roman"/>
                <w:color w:val="000000"/>
                <w:sz w:val="24"/>
              </w:rPr>
              <w:t xml:space="preserve"> </w:t>
            </w:r>
            <w:r>
              <w:rPr>
                <w:rFonts w:ascii="Times New Roman" w:hAnsi="Times New Roman"/>
                <w:b/>
                <w:color w:val="000000"/>
                <w:sz w:val="24"/>
              </w:rPr>
              <w:t xml:space="preserve">SPECIALTIES IRELAND LIMITED </w:t>
            </w:r>
            <w:r>
              <w:rPr>
                <w:rFonts w:ascii="Times New Roman" w:hAnsi="Times New Roman"/>
                <w:color w:val="000000"/>
                <w:sz w:val="24"/>
              </w:rPr>
              <w:t>as the Servicer, Irish Originator and Parent by its lawfully appointed attorney in the presence of: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21" w:type="dxa"/>
            <w:gridSpan w:val="2"/>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21" w:type="dxa"/>
            <w:gridSpan w:val="2"/>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21" w:type="dxa"/>
            <w:gridSpan w:val="2"/>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88"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888"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Attorney signature</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88"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88"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8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888"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(Witness’ Signature)</w:t>
            </w:r>
          </w:p>
        </w:tc>
        <w:tc>
          <w:tcPr>
            <w:tcW w:w="533"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45"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Print Attorney name</w:t>
            </w:r>
          </w:p>
        </w:tc>
        <w:tc>
          <w:tcPr>
            <w:tcW w:w="193" w:type="dxa"/>
            <w:tcBorders/>
            <w:tcMar>
              <w:top w:w="0" w:type="dxa"/>
              <w:left w:w="0" w:type="dxa"/>
              <w:bottom w:w="0" w:type="dxa"/>
              <w:right w:w="0" w:type="dxa"/>
            </w:tcMar>
            <w:vAlign w:val="center"/>
          </w:tcPr>
          <w:p>
            <w:pPr>
              <w:pStyle w:val="TableContents"/>
              <w:bidi w:val="0"/>
              <w:spacing w:before="40" w:after="283"/>
              <w:jc w:val="left"/>
              <w:rPr/>
            </w:pPr>
            <w:r>
              <w:rPr/>
              <w:t> </w:t>
            </w:r>
          </w:p>
        </w:tc>
      </w:tr>
      <w:tr>
        <w:trPr/>
        <w:tc>
          <w:tcPr>
            <w:tcW w:w="7888"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8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88"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(Witness’ Name)</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88"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8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88"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(Witness’ Address)</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88" w:type="dxa"/>
            <w:tcBorders/>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8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88"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(Witness’ Occupation)</w:t>
            </w:r>
          </w:p>
        </w:tc>
        <w:tc>
          <w:tcPr>
            <w:tcW w:w="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339" w:type="dxa"/>
        <w:jc w:val="left"/>
        <w:tblInd w:w="0" w:type="dxa"/>
        <w:tblLayout w:type="fixed"/>
        <w:tblCellMar>
          <w:top w:w="28" w:type="dxa"/>
          <w:left w:w="28" w:type="dxa"/>
          <w:bottom w:w="28" w:type="dxa"/>
          <w:right w:w="28" w:type="dxa"/>
        </w:tblCellMar>
      </w:tblPr>
      <w:tblGrid>
        <w:gridCol w:w="5266"/>
        <w:gridCol w:w="146"/>
        <w:gridCol w:w="736"/>
        <w:gridCol w:w="191"/>
      </w:tblGrid>
      <w:tr>
        <w:trPr/>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66"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rPr>
              <w:t>SIGNED</w:t>
            </w:r>
            <w:r>
              <w:rPr>
                <w:rFonts w:ascii="Times New Roman" w:hAnsi="Times New Roman"/>
                <w:color w:val="000000"/>
                <w:sz w:val="24"/>
              </w:rPr>
              <w:t xml:space="preserve"> </w:t>
            </w:r>
            <w:r>
              <w:rPr>
                <w:rFonts w:ascii="Times New Roman" w:hAnsi="Times New Roman"/>
                <w:b/>
                <w:color w:val="000000"/>
                <w:sz w:val="24"/>
              </w:rPr>
              <w:t>AND</w:t>
            </w:r>
            <w:r>
              <w:rPr>
                <w:rFonts w:ascii="Times New Roman" w:hAnsi="Times New Roman"/>
                <w:color w:val="000000"/>
                <w:sz w:val="24"/>
              </w:rPr>
              <w:t xml:space="preserve"> </w:t>
            </w:r>
            <w:r>
              <w:rPr>
                <w:rFonts w:ascii="Times New Roman" w:hAnsi="Times New Roman"/>
                <w:b/>
                <w:color w:val="000000"/>
                <w:sz w:val="24"/>
              </w:rPr>
              <w:t>DELIVERED</w:t>
            </w:r>
            <w:r>
              <w:rPr>
                <w:rFonts w:ascii="Times New Roman" w:hAnsi="Times New Roman"/>
                <w:color w:val="000000"/>
                <w:sz w:val="24"/>
              </w:rPr>
              <w:t xml:space="preserve"> as a </w:t>
            </w:r>
            <w:r>
              <w:rPr>
                <w:rFonts w:ascii="Times New Roman" w:hAnsi="Times New Roman"/>
                <w:b/>
                <w:color w:val="000000"/>
                <w:sz w:val="24"/>
              </w:rPr>
              <w:t>DEED</w:t>
            </w:r>
          </w:p>
          <w:p>
            <w:pPr>
              <w:pStyle w:val="TableContents"/>
              <w:bidi w:val="0"/>
              <w:spacing w:before="0" w:after="283"/>
              <w:jc w:val="left"/>
              <w:rPr>
                <w:rFonts w:ascii="Times New Roman" w:hAnsi="Times New Roman"/>
                <w:sz w:val="24"/>
              </w:rPr>
            </w:pPr>
            <w:r>
              <w:rPr>
                <w:rFonts w:ascii="Times New Roman" w:hAnsi="Times New Roman"/>
                <w:color w:val="000000"/>
                <w:sz w:val="24"/>
              </w:rPr>
              <w:t xml:space="preserve">for and on behalf of </w:t>
            </w:r>
            <w:r>
              <w:rPr>
                <w:rFonts w:ascii="Times New Roman" w:hAnsi="Times New Roman"/>
                <w:b/>
                <w:color w:val="000000"/>
                <w:sz w:val="24"/>
              </w:rPr>
              <w:t xml:space="preserve">BANK OF AMERICA, N.A. </w:t>
            </w:r>
            <w:r>
              <w:rPr>
                <w:rFonts w:ascii="Times New Roman" w:hAnsi="Times New Roman"/>
                <w:color w:val="000000"/>
                <w:sz w:val="24"/>
              </w:rPr>
              <w:t>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the Administrative Agent and Structuring Agent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623" w:type="dxa"/>
        <w:jc w:val="left"/>
        <w:tblInd w:w="0" w:type="dxa"/>
        <w:tblLayout w:type="fixed"/>
        <w:tblCellMar>
          <w:top w:w="28" w:type="dxa"/>
          <w:left w:w="28" w:type="dxa"/>
          <w:bottom w:w="28" w:type="dxa"/>
          <w:right w:w="28" w:type="dxa"/>
        </w:tblCellMar>
      </w:tblPr>
      <w:tblGrid>
        <w:gridCol w:w="4156"/>
        <w:gridCol w:w="146"/>
        <w:gridCol w:w="1177"/>
        <w:gridCol w:w="953"/>
        <w:gridCol w:w="1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EXECUTED</w:t>
            </w:r>
            <w:r>
              <w:rPr>
                <w:rFonts w:ascii="Times New Roman" w:hAnsi="Times New Roman"/>
                <w:color w:val="000000"/>
                <w:sz w:val="24"/>
              </w:rPr>
              <w:t xml:space="preserve"> as a </w:t>
            </w:r>
            <w:r>
              <w:rPr>
                <w:rFonts w:ascii="Times New Roman" w:hAnsi="Times New Roman"/>
                <w:b/>
                <w:color w:val="000000"/>
                <w:sz w:val="24"/>
              </w:rPr>
              <w:t>DEED</w:t>
            </w:r>
            <w:r>
              <w:rPr>
                <w:rFonts w:ascii="Times New Roman" w:hAnsi="Times New Roman"/>
                <w:color w:val="000000"/>
                <w:sz w:val="24"/>
              </w:rPr>
              <w:t xml:space="preserve"> 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duly authorised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 and on behalf of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BANK</w:t>
            </w:r>
            <w:r>
              <w:rPr>
                <w:rFonts w:ascii="Times New Roman" w:hAnsi="Times New Roman"/>
                <w:color w:val="000000"/>
                <w:sz w:val="24"/>
              </w:rPr>
              <w:t xml:space="preserve"> </w:t>
            </w:r>
            <w:r>
              <w:rPr>
                <w:rFonts w:ascii="Times New Roman" w:hAnsi="Times New Roman"/>
                <w:b/>
                <w:color w:val="000000"/>
                <w:sz w:val="24"/>
              </w:rPr>
              <w:t>OF</w:t>
            </w:r>
            <w:r>
              <w:rPr>
                <w:rFonts w:ascii="Times New Roman" w:hAnsi="Times New Roman"/>
                <w:color w:val="000000"/>
                <w:sz w:val="24"/>
              </w:rPr>
              <w:t xml:space="preserve"> </w:t>
            </w:r>
            <w:r>
              <w:rPr>
                <w:rFonts w:ascii="Times New Roman" w:hAnsi="Times New Roman"/>
                <w:b/>
                <w:color w:val="000000"/>
                <w:sz w:val="24"/>
              </w:rPr>
              <w:t>AMERICA</w:t>
            </w:r>
            <w:r>
              <w:rPr>
                <w:rFonts w:ascii="Times New Roman" w:hAnsi="Times New Roman"/>
                <w:color w:val="000000"/>
                <w:sz w:val="24"/>
              </w:rPr>
              <w:t xml:space="preserve"> </w:t>
            </w:r>
            <w:r>
              <w:rPr>
                <w:rFonts w:ascii="Times New Roman" w:hAnsi="Times New Roman"/>
                <w:b/>
                <w:color w:val="000000"/>
                <w:sz w:val="24"/>
              </w:rPr>
              <w:t>EUROPE DAC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 Committed Purchaser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2"/>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Authorised Signatory</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Witnessed 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95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Witness 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95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Address: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95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Occupation: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95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5979" w:type="dxa"/>
        <w:jc w:val="left"/>
        <w:tblInd w:w="0" w:type="dxa"/>
        <w:tblLayout w:type="fixed"/>
        <w:tblCellMar>
          <w:top w:w="28" w:type="dxa"/>
          <w:left w:w="28" w:type="dxa"/>
          <w:bottom w:w="28" w:type="dxa"/>
          <w:right w:w="28" w:type="dxa"/>
        </w:tblCellMar>
      </w:tblPr>
      <w:tblGrid>
        <w:gridCol w:w="4906"/>
        <w:gridCol w:w="146"/>
        <w:gridCol w:w="736"/>
        <w:gridCol w:w="191"/>
      </w:tblGrid>
      <w:tr>
        <w:trPr/>
        <w:tc>
          <w:tcPr>
            <w:tcW w:w="4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SIGNED</w:t>
            </w:r>
            <w:r>
              <w:rPr>
                <w:rFonts w:ascii="Times New Roman" w:hAnsi="Times New Roman"/>
                <w:color w:val="000000"/>
                <w:sz w:val="24"/>
              </w:rPr>
              <w:t xml:space="preserve"> </w:t>
            </w:r>
            <w:r>
              <w:rPr>
                <w:rFonts w:ascii="Times New Roman" w:hAnsi="Times New Roman"/>
                <w:b/>
                <w:color w:val="000000"/>
                <w:sz w:val="24"/>
              </w:rPr>
              <w:t>AND</w:t>
            </w:r>
            <w:r>
              <w:rPr>
                <w:rFonts w:ascii="Times New Roman" w:hAnsi="Times New Roman"/>
                <w:color w:val="000000"/>
                <w:sz w:val="24"/>
              </w:rPr>
              <w:t xml:space="preserve"> </w:t>
            </w:r>
            <w:r>
              <w:rPr>
                <w:rFonts w:ascii="Times New Roman" w:hAnsi="Times New Roman"/>
                <w:b/>
                <w:color w:val="000000"/>
                <w:sz w:val="24"/>
              </w:rPr>
              <w:t>DELIVERED</w:t>
            </w:r>
            <w:r>
              <w:rPr>
                <w:rFonts w:ascii="Times New Roman" w:hAnsi="Times New Roman"/>
                <w:color w:val="000000"/>
                <w:sz w:val="24"/>
              </w:rPr>
              <w:t xml:space="preserve"> as a </w:t>
            </w:r>
            <w:r>
              <w:rPr>
                <w:rFonts w:ascii="Times New Roman" w:hAnsi="Times New Roman"/>
                <w:b/>
                <w:color w:val="000000"/>
                <w:sz w:val="24"/>
              </w:rPr>
              <w:t>DEED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 xml:space="preserve">for and on behalf of </w:t>
            </w:r>
            <w:r>
              <w:rPr>
                <w:rFonts w:ascii="Times New Roman" w:hAnsi="Times New Roman"/>
                <w:b/>
                <w:color w:val="000000"/>
                <w:sz w:val="24"/>
              </w:rPr>
              <w:t>MONT BLANC CAPITAL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CORP</w:t>
            </w:r>
            <w:r>
              <w:rPr>
                <w:rFonts w:ascii="Times New Roman" w:hAnsi="Times New Roman"/>
                <w:color w:val="000000"/>
                <w:sz w:val="24"/>
              </w:rPr>
              <w:t> as Committed Purchaser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204" w:type="dxa"/>
        <w:jc w:val="left"/>
        <w:tblInd w:w="0" w:type="dxa"/>
        <w:tblLayout w:type="fixed"/>
        <w:tblCellMar>
          <w:top w:w="28" w:type="dxa"/>
          <w:left w:w="28" w:type="dxa"/>
          <w:bottom w:w="28" w:type="dxa"/>
          <w:right w:w="28" w:type="dxa"/>
        </w:tblCellMar>
      </w:tblPr>
      <w:tblGrid>
        <w:gridCol w:w="5131"/>
        <w:gridCol w:w="146"/>
        <w:gridCol w:w="736"/>
        <w:gridCol w:w="191"/>
      </w:tblGrid>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SIGNED</w:t>
            </w:r>
            <w:r>
              <w:rPr>
                <w:rFonts w:ascii="Times New Roman" w:hAnsi="Times New Roman"/>
                <w:color w:val="000000"/>
                <w:sz w:val="24"/>
              </w:rPr>
              <w:t xml:space="preserve"> </w:t>
            </w:r>
            <w:r>
              <w:rPr>
                <w:rFonts w:ascii="Times New Roman" w:hAnsi="Times New Roman"/>
                <w:b/>
                <w:color w:val="000000"/>
                <w:sz w:val="24"/>
              </w:rPr>
              <w:t>AND</w:t>
            </w:r>
            <w:r>
              <w:rPr>
                <w:rFonts w:ascii="Times New Roman" w:hAnsi="Times New Roman"/>
                <w:color w:val="000000"/>
                <w:sz w:val="24"/>
              </w:rPr>
              <w:t xml:space="preserve"> </w:t>
            </w:r>
            <w:r>
              <w:rPr>
                <w:rFonts w:ascii="Times New Roman" w:hAnsi="Times New Roman"/>
                <w:b/>
                <w:color w:val="000000"/>
                <w:sz w:val="24"/>
              </w:rPr>
              <w:t>DELIVERED</w:t>
            </w:r>
            <w:r>
              <w:rPr>
                <w:rFonts w:ascii="Times New Roman" w:hAnsi="Times New Roman"/>
                <w:color w:val="000000"/>
                <w:sz w:val="24"/>
              </w:rPr>
              <w:t xml:space="preserve"> as a </w:t>
            </w:r>
            <w:r>
              <w:rPr>
                <w:rFonts w:ascii="Times New Roman" w:hAnsi="Times New Roman"/>
                <w:b/>
                <w:color w:val="000000"/>
                <w:sz w:val="24"/>
              </w:rPr>
              <w:t>DEED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 xml:space="preserve">for and on behalf of </w:t>
            </w:r>
            <w:r>
              <w:rPr>
                <w:rFonts w:ascii="Times New Roman" w:hAnsi="Times New Roman"/>
                <w:b/>
                <w:color w:val="000000"/>
                <w:sz w:val="24"/>
              </w:rPr>
              <w:t xml:space="preserve">ING BELGIUM SA/NV </w:t>
            </w:r>
            <w:r>
              <w:rPr>
                <w:rFonts w:ascii="Times New Roman" w:hAnsi="Times New Roman"/>
                <w:color w:val="000000"/>
                <w:sz w:val="24"/>
              </w:rPr>
              <w:t>as the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ING Group Agent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4"/>
              </w:rPr>
            </w:pPr>
            <w:r>
              <w:rPr>
                <w:rFonts w:ascii="Times New Roman" w:hAnsi="Times New Roman"/>
                <w:color w:val="000000"/>
                <w:sz w:val="24"/>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6" w:after="283"/>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4"/>
        </w:rPr>
      </w:pPr>
      <w:r>
        <w:rPr>
          <w:rFonts w:ascii="Times New Roman" w:hAnsi="Times New Roman"/>
          <w:color w:val="000000"/>
          <w:sz w:val="24"/>
        </w:rPr>
        <w:t>SCHEDULE 2</w:t>
      </w:r>
    </w:p>
    <w:p>
      <w:pPr>
        <w:pStyle w:val="TextBody"/>
        <w:bidi w:val="0"/>
        <w:jc w:val="center"/>
        <w:rPr>
          <w:rFonts w:ascii="Times New Roman" w:hAnsi="Times New Roman"/>
          <w:sz w:val="24"/>
        </w:rPr>
      </w:pPr>
      <w:r>
        <w:rPr>
          <w:rFonts w:ascii="Times New Roman" w:hAnsi="Times New Roman"/>
          <w:b/>
          <w:color w:val="000000"/>
          <w:sz w:val="24"/>
        </w:rPr>
        <w:t>AMENDED</w:t>
      </w:r>
      <w:r>
        <w:rPr>
          <w:rFonts w:ascii="Times New Roman" w:hAnsi="Times New Roman"/>
          <w:color w:val="000000"/>
          <w:sz w:val="24"/>
        </w:rPr>
        <w:t xml:space="preserve"> </w:t>
      </w:r>
      <w:r>
        <w:rPr>
          <w:rFonts w:ascii="Times New Roman" w:hAnsi="Times New Roman"/>
          <w:b/>
          <w:color w:val="000000"/>
          <w:sz w:val="24"/>
        </w:rPr>
        <w:t>AND</w:t>
      </w:r>
      <w:r>
        <w:rPr>
          <w:rFonts w:ascii="Times New Roman" w:hAnsi="Times New Roman"/>
          <w:color w:val="000000"/>
          <w:sz w:val="24"/>
        </w:rPr>
        <w:t xml:space="preserve"> </w:t>
      </w:r>
      <w:r>
        <w:rPr>
          <w:rFonts w:ascii="Times New Roman" w:hAnsi="Times New Roman"/>
          <w:b/>
          <w:color w:val="000000"/>
          <w:sz w:val="24"/>
        </w:rPr>
        <w:t>RESTATED</w:t>
      </w:r>
      <w:r>
        <w:rPr>
          <w:rFonts w:ascii="Times New Roman" w:hAnsi="Times New Roman"/>
          <w:color w:val="000000"/>
          <w:sz w:val="24"/>
        </w:rPr>
        <w:t xml:space="preserve"> </w:t>
      </w:r>
      <w:r>
        <w:rPr>
          <w:rFonts w:ascii="Times New Roman" w:hAnsi="Times New Roman"/>
          <w:b/>
          <w:color w:val="000000"/>
          <w:sz w:val="24"/>
        </w:rPr>
        <w:t>RECEIVEBALES</w:t>
      </w:r>
      <w:r>
        <w:rPr>
          <w:rFonts w:ascii="Times New Roman" w:hAnsi="Times New Roman"/>
          <w:color w:val="000000"/>
          <w:sz w:val="24"/>
        </w:rPr>
        <w:t xml:space="preserve"> </w:t>
      </w:r>
      <w:r>
        <w:rPr>
          <w:rFonts w:ascii="Times New Roman" w:hAnsi="Times New Roman"/>
          <w:b/>
          <w:color w:val="000000"/>
          <w:sz w:val="24"/>
        </w:rPr>
        <w:t>PURCHASE</w:t>
      </w:r>
      <w:r>
        <w:rPr>
          <w:rFonts w:ascii="Times New Roman" w:hAnsi="Times New Roman"/>
          <w:color w:val="000000"/>
          <w:sz w:val="24"/>
        </w:rPr>
        <w:t xml:space="preserve"> </w:t>
      </w:r>
      <w:r>
        <w:rPr>
          <w:rFonts w:ascii="Times New Roman" w:hAnsi="Times New Roman"/>
          <w:b/>
          <w:color w:val="000000"/>
          <w:sz w:val="24"/>
        </w:rPr>
        <w:t>AGREEMENT</w:t>
      </w:r>
    </w:p>
    <w:p>
      <w:pPr>
        <w:pStyle w:val="TextBody"/>
        <w:bidi w:val="0"/>
        <w:jc w:val="center"/>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2" w:after="283"/>
        <w:jc w:val="left"/>
        <w:rPr>
          <w:rFonts w:ascii="Times New Roman" w:hAnsi="Times New Roman"/>
          <w:color w:val="000000"/>
          <w:sz w:val="24"/>
        </w:rPr>
      </w:pPr>
      <w:r>
        <w:rPr>
          <w:rFonts w:ascii="Times New Roman" w:hAnsi="Times New Roman"/>
          <w:color w:val="000000"/>
          <w:sz w:val="24"/>
        </w:rPr>
        <w:t>EXECUTION VERSION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Originally dated 19 October 2023 and amended and restated on 24 September 2026</w:t>
      </w:r>
    </w:p>
    <w:p>
      <w:pPr>
        <w:pStyle w:val="Heading1"/>
        <w:bidi w:val="0"/>
        <w:spacing w:before="240" w:after="283"/>
        <w:jc w:val="both"/>
        <w:rPr>
          <w:rFonts w:ascii="Times New Roman" w:hAnsi="Times New Roman"/>
          <w:sz w:val="24"/>
        </w:rPr>
      </w:pPr>
      <w:r>
        <w:rPr>
          <w:rFonts w:ascii="Times New Roman" w:hAnsi="Times New Roman"/>
          <w:b w:val="false"/>
          <w:color w:val="000000"/>
          <w:sz w:val="24"/>
        </w:rPr>
        <w:t xml:space="preserve">(1) </w:t>
      </w:r>
      <w:r>
        <w:rPr>
          <w:rFonts w:ascii="Times New Roman" w:hAnsi="Times New Roman"/>
          <w:color w:val="000000"/>
          <w:sz w:val="24"/>
        </w:rPr>
        <w:t>ASHLAND INTERNATIONAL</w:t>
        <w:br/>
        <w:t>RECEIVABLES DESIGNATED ACTIVITY</w:t>
        <w:br/>
        <w:t xml:space="preserve">COMPANY </w:t>
      </w:r>
      <w:r>
        <w:rPr>
          <w:rFonts w:ascii="Times New Roman" w:hAnsi="Times New Roman"/>
          <w:b w:val="false"/>
          <w:color w:val="000000"/>
          <w:sz w:val="24"/>
        </w:rPr>
        <w:t>as</w:t>
      </w:r>
      <w:r>
        <w:rPr>
          <w:rFonts w:ascii="Times New Roman" w:hAnsi="Times New Roman"/>
          <w:color w:val="000000"/>
          <w:sz w:val="24"/>
        </w:rPr>
        <w:t xml:space="preserve"> </w:t>
      </w:r>
      <w:r>
        <w:rPr>
          <w:rFonts w:ascii="Times New Roman" w:hAnsi="Times New Roman"/>
          <w:b w:val="false"/>
          <w:color w:val="000000"/>
          <w:sz w:val="24"/>
        </w:rPr>
        <w:t>Seller</w:t>
      </w:r>
    </w:p>
    <w:p>
      <w:pPr>
        <w:pStyle w:val="Heading1"/>
        <w:bidi w:val="0"/>
        <w:spacing w:before="240" w:after="283"/>
        <w:jc w:val="both"/>
        <w:rPr>
          <w:rFonts w:ascii="Times New Roman" w:hAnsi="Times New Roman"/>
          <w:sz w:val="24"/>
        </w:rPr>
      </w:pPr>
      <w:r>
        <w:rPr>
          <w:rFonts w:ascii="Times New Roman" w:hAnsi="Times New Roman"/>
          <w:b w:val="false"/>
          <w:color w:val="000000"/>
          <w:sz w:val="24"/>
        </w:rPr>
        <w:t xml:space="preserve">(2) </w:t>
      </w:r>
      <w:r>
        <w:rPr>
          <w:rFonts w:ascii="Times New Roman" w:hAnsi="Times New Roman"/>
          <w:color w:val="000000"/>
          <w:sz w:val="24"/>
        </w:rPr>
        <w:t>THE PERSONS FROM TIME TO TIME</w:t>
        <w:br/>
        <w:t>PARTY HERETO as Purchasers and Group</w:t>
        <w:br/>
      </w:r>
      <w:r>
        <w:rPr>
          <w:rFonts w:ascii="Times New Roman" w:hAnsi="Times New Roman"/>
          <w:b w:val="false"/>
          <w:color w:val="000000"/>
          <w:sz w:val="24"/>
        </w:rPr>
        <w:t>Agents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(3) </w:t>
      </w:r>
      <w:r>
        <w:rPr>
          <w:rFonts w:ascii="Times New Roman" w:hAnsi="Times New Roman"/>
          <w:b/>
          <w:color w:val="000000"/>
          <w:sz w:val="24"/>
        </w:rPr>
        <w:t>BANK</w:t>
      </w:r>
      <w:r>
        <w:rPr>
          <w:rFonts w:ascii="Times New Roman" w:hAnsi="Times New Roman"/>
          <w:color w:val="000000"/>
          <w:sz w:val="24"/>
        </w:rPr>
        <w:t xml:space="preserve"> </w:t>
      </w:r>
      <w:r>
        <w:rPr>
          <w:rFonts w:ascii="Times New Roman" w:hAnsi="Times New Roman"/>
          <w:b/>
          <w:color w:val="000000"/>
          <w:sz w:val="24"/>
        </w:rPr>
        <w:t>OF</w:t>
      </w:r>
      <w:r>
        <w:rPr>
          <w:rFonts w:ascii="Times New Roman" w:hAnsi="Times New Roman"/>
          <w:color w:val="000000"/>
          <w:sz w:val="24"/>
        </w:rPr>
        <w:t xml:space="preserve"> </w:t>
      </w:r>
      <w:r>
        <w:rPr>
          <w:rFonts w:ascii="Times New Roman" w:hAnsi="Times New Roman"/>
          <w:b/>
          <w:color w:val="000000"/>
          <w:sz w:val="24"/>
        </w:rPr>
        <w:t>AMERICA,</w:t>
      </w:r>
      <w:r>
        <w:rPr>
          <w:rFonts w:ascii="Times New Roman" w:hAnsi="Times New Roman"/>
          <w:color w:val="000000"/>
          <w:sz w:val="24"/>
        </w:rPr>
        <w:t xml:space="preserve"> </w:t>
      </w:r>
      <w:r>
        <w:rPr>
          <w:rFonts w:ascii="Times New Roman" w:hAnsi="Times New Roman"/>
          <w:b/>
          <w:color w:val="000000"/>
          <w:sz w:val="24"/>
        </w:rPr>
        <w:t>N.A.</w:t>
      </w:r>
      <w:r>
        <w:rPr>
          <w:rFonts w:ascii="Times New Roman" w:hAnsi="Times New Roman"/>
          <w:color w:val="000000"/>
          <w:sz w:val="24"/>
        </w:rPr>
        <w:t xml:space="preserve"> as Administrative</w:t>
        <w:br/>
        <w:t>Agent and Structuring Agent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(4) </w:t>
      </w:r>
      <w:r>
        <w:rPr>
          <w:rFonts w:ascii="Times New Roman" w:hAnsi="Times New Roman"/>
          <w:b/>
          <w:color w:val="000000"/>
          <w:sz w:val="24"/>
        </w:rPr>
        <w:t>ASHLAND</w:t>
      </w:r>
      <w:r>
        <w:rPr>
          <w:rFonts w:ascii="Times New Roman" w:hAnsi="Times New Roman"/>
          <w:color w:val="000000"/>
          <w:sz w:val="24"/>
        </w:rPr>
        <w:t xml:space="preserve"> </w:t>
      </w:r>
      <w:r>
        <w:rPr>
          <w:rFonts w:ascii="Times New Roman" w:hAnsi="Times New Roman"/>
          <w:b/>
          <w:color w:val="000000"/>
          <w:sz w:val="24"/>
        </w:rPr>
        <w:t>INC.</w:t>
      </w:r>
      <w:r>
        <w:rPr>
          <w:rFonts w:ascii="Times New Roman" w:hAnsi="Times New Roman"/>
          <w:color w:val="000000"/>
          <w:sz w:val="24"/>
        </w:rPr>
        <w:t xml:space="preserve"> as Ashland and initial</w:t>
        <w:br/>
        <w:t>Performance Guarantor</w:t>
      </w:r>
    </w:p>
    <w:p>
      <w:pPr>
        <w:pStyle w:val="Heading1"/>
        <w:bidi w:val="0"/>
        <w:spacing w:before="240" w:after="283"/>
        <w:jc w:val="both"/>
        <w:rPr>
          <w:rFonts w:ascii="Times New Roman" w:hAnsi="Times New Roman"/>
          <w:sz w:val="24"/>
        </w:rPr>
      </w:pPr>
      <w:r>
        <w:rPr>
          <w:rFonts w:ascii="Times New Roman" w:hAnsi="Times New Roman"/>
          <w:b w:val="false"/>
          <w:color w:val="000000"/>
          <w:sz w:val="24"/>
        </w:rPr>
        <w:t xml:space="preserve">(5) </w:t>
      </w:r>
      <w:r>
        <w:rPr>
          <w:rFonts w:ascii="Times New Roman" w:hAnsi="Times New Roman"/>
          <w:color w:val="000000"/>
          <w:sz w:val="24"/>
        </w:rPr>
        <w:t>ASHLAND SPECIALTIES IRELAND</w:t>
        <w:br/>
        <w:t xml:space="preserve">LIMITED </w:t>
      </w:r>
      <w:r>
        <w:rPr>
          <w:rFonts w:ascii="Times New Roman" w:hAnsi="Times New Roman"/>
          <w:b w:val="false"/>
          <w:color w:val="000000"/>
          <w:sz w:val="24"/>
        </w:rPr>
        <w:t>as</w:t>
      </w:r>
      <w:r>
        <w:rPr>
          <w:rFonts w:ascii="Times New Roman" w:hAnsi="Times New Roman"/>
          <w:color w:val="000000"/>
          <w:sz w:val="24"/>
        </w:rPr>
        <w:t xml:space="preserve"> </w:t>
      </w:r>
      <w:r>
        <w:rPr>
          <w:rFonts w:ascii="Times New Roman" w:hAnsi="Times New Roman"/>
          <w:b w:val="false"/>
          <w:color w:val="000000"/>
          <w:sz w:val="24"/>
        </w:rPr>
        <w:t>initial</w:t>
      </w:r>
      <w:r>
        <w:rPr>
          <w:rFonts w:ascii="Times New Roman" w:hAnsi="Times New Roman"/>
          <w:color w:val="000000"/>
          <w:sz w:val="24"/>
        </w:rPr>
        <w:t xml:space="preserve"> </w:t>
      </w:r>
      <w:r>
        <w:rPr>
          <w:rFonts w:ascii="Times New Roman" w:hAnsi="Times New Roman"/>
          <w:b w:val="false"/>
          <w:color w:val="000000"/>
          <w:sz w:val="24"/>
        </w:rPr>
        <w:t>Servicer</w:t>
      </w:r>
      <w:r>
        <w:rPr>
          <w:rFonts w:ascii="Times New Roman" w:hAnsi="Times New Roman"/>
          <w:color w:val="000000"/>
          <w:sz w:val="24"/>
        </w:rPr>
        <w:t xml:space="preserve"> </w:t>
      </w:r>
      <w:r>
        <w:rPr>
          <w:rFonts w:ascii="Times New Roman" w:hAnsi="Times New Roman"/>
          <w:b w:val="false"/>
          <w:color w:val="000000"/>
          <w:sz w:val="24"/>
        </w:rPr>
        <w:t>and</w:t>
      </w:r>
      <w:r>
        <w:rPr>
          <w:rFonts w:ascii="Times New Roman" w:hAnsi="Times New Roman"/>
          <w:color w:val="000000"/>
          <w:sz w:val="24"/>
        </w:rPr>
        <w:t xml:space="preserve"> </w:t>
      </w:r>
      <w:r>
        <w:rPr>
          <w:rFonts w:ascii="Times New Roman" w:hAnsi="Times New Roman"/>
          <w:b w:val="false"/>
          <w:color w:val="000000"/>
          <w:sz w:val="24"/>
        </w:rPr>
        <w:t>Parent</w:t>
      </w:r>
    </w:p>
    <w:p>
      <w:pPr>
        <w:pStyle w:val="Heading1"/>
        <w:bidi w:val="0"/>
        <w:spacing w:before="240" w:after="283"/>
        <w:jc w:val="both"/>
        <w:rPr>
          <w:rFonts w:ascii="Times New Roman" w:hAnsi="Times New Roman"/>
          <w:sz w:val="24"/>
        </w:rPr>
      </w:pPr>
      <w:r>
        <w:rPr>
          <w:rFonts w:ascii="Times New Roman" w:hAnsi="Times New Roman"/>
          <w:b w:val="false"/>
          <w:color w:val="000000"/>
          <w:sz w:val="24"/>
        </w:rPr>
        <w:t xml:space="preserve">(6) </w:t>
      </w:r>
      <w:r>
        <w:rPr>
          <w:rFonts w:ascii="Times New Roman" w:hAnsi="Times New Roman"/>
          <w:color w:val="000000"/>
          <w:sz w:val="24"/>
        </w:rPr>
        <w:t>ASHLAND INDUSTRIES DEUTSCHLAND</w:t>
        <w:br/>
        <w:t xml:space="preserve">GMBH </w:t>
      </w:r>
      <w:r>
        <w:rPr>
          <w:rFonts w:ascii="Times New Roman" w:hAnsi="Times New Roman"/>
          <w:b w:val="false"/>
          <w:color w:val="000000"/>
          <w:sz w:val="24"/>
        </w:rPr>
        <w:t>as</w:t>
      </w:r>
      <w:r>
        <w:rPr>
          <w:rFonts w:ascii="Times New Roman" w:hAnsi="Times New Roman"/>
          <w:color w:val="000000"/>
          <w:sz w:val="24"/>
        </w:rPr>
        <w:t xml:space="preserve"> </w:t>
      </w:r>
      <w:r>
        <w:rPr>
          <w:rFonts w:ascii="Times New Roman" w:hAnsi="Times New Roman"/>
          <w:b w:val="false"/>
          <w:color w:val="000000"/>
          <w:sz w:val="24"/>
        </w:rPr>
        <w:t>German Originator</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xml:space="preserve">AMENDED AND RESTATED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RECEIVABLES PURCHASE AGREEMENT</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38"/>
        <w:gridCol w:w="8174"/>
        <w:gridCol w:w="346"/>
        <w:gridCol w:w="647"/>
      </w:tblGrid>
      <w:tr>
        <w:trPr/>
        <w:tc>
          <w:tcPr>
            <w:tcW w:w="1038" w:type="dxa"/>
            <w:tcBorders/>
            <w:vAlign w:val="center"/>
          </w:tcPr>
          <w:p>
            <w:pPr>
              <w:pStyle w:val="TableContents"/>
              <w:bidi w:val="0"/>
              <w:spacing w:before="0" w:after="283"/>
              <w:jc w:val="left"/>
              <w:rPr>
                <w:sz w:val="4"/>
                <w:szCs w:val="4"/>
              </w:rPr>
            </w:pPr>
            <w:r>
              <w:rPr>
                <w:sz w:val="4"/>
                <w:szCs w:val="4"/>
              </w:rPr>
            </w:r>
          </w:p>
        </w:tc>
        <w:tc>
          <w:tcPr>
            <w:tcW w:w="81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tcMar>
              <w:top w:w="0" w:type="dxa"/>
              <w:left w:w="0" w:type="dxa"/>
              <w:bottom w:w="0" w:type="dxa"/>
              <w:right w:w="0" w:type="dxa"/>
            </w:tcMar>
            <w:vAlign w:val="center"/>
          </w:tcPr>
          <w:p>
            <w:pPr>
              <w:pStyle w:val="Heading1"/>
              <w:bidi w:val="0"/>
              <w:spacing w:before="240" w:after="283"/>
              <w:jc w:val="center"/>
              <w:rPr>
                <w:rFonts w:ascii="Times New Roman" w:hAnsi="Times New Roman"/>
                <w:color w:val="000000"/>
                <w:sz w:val="24"/>
              </w:rPr>
            </w:pPr>
            <w:r>
              <w:rPr>
                <w:rFonts w:ascii="Times New Roman" w:hAnsi="Times New Roman"/>
                <w:color w:val="000000"/>
                <w:sz w:val="24"/>
              </w:rPr>
              <w:t>CONTENTS</w:t>
            </w:r>
          </w:p>
        </w:tc>
      </w:tr>
      <w:tr>
        <w:trPr/>
        <w:tc>
          <w:tcPr>
            <w:tcW w:w="10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Clause</w:t>
            </w:r>
          </w:p>
        </w:tc>
        <w:tc>
          <w:tcPr>
            <w:tcW w:w="8174"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Heading2"/>
              <w:bidi w:val="0"/>
              <w:spacing w:before="200" w:after="120"/>
              <w:jc w:val="right"/>
              <w:rPr>
                <w:rFonts w:ascii="Times New Roman" w:hAnsi="Times New Roman"/>
                <w:color w:val="000000"/>
                <w:sz w:val="24"/>
              </w:rPr>
            </w:pPr>
            <w:r>
              <w:rPr>
                <w:rFonts w:ascii="Times New Roman" w:hAnsi="Times New Roman"/>
                <w:color w:val="000000"/>
                <w:sz w:val="24"/>
              </w:rPr>
              <w:t>Page</w:t>
            </w:r>
          </w:p>
        </w:tc>
      </w:tr>
      <w:tr>
        <w:trPr/>
        <w:tc>
          <w:tcPr>
            <w:tcW w:w="92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I DEFINITIONS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1.01. Definitions and Interpretation</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1.02. Other Interpretative Matters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II TERMS OF THE PURCHASES AND INVESTMENTS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2.01. Purchase Facility</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2.02. Making Investments; Return of Capital</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2.03. Yield and Fees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2.04. Records of Investments and Capital</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2.05. Non-Renewing Purchasers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2.06. Replacement of Purchaser Group</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2.07. Status of Conduit Purchasers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w:t>
            </w:r>
          </w:p>
        </w:tc>
        <w:tc>
          <w:tcPr>
            <w:tcW w:w="64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III SETTLEMENT PROCEDURES AND PAYMENT PROVISIONS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3.01. Settlement Procedures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3.02. Payments and Computations, Etc</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13</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IV INCREASED COSTS; FUNDING LOSSES; TAXES; ILLEGALITY AND BACK-UP SECURITY INTEREST</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14</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4.01. Increased Costs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14</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4.02. Funding Losses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16</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4.03. Taxes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16</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4.04. Back-Up Security Interest and Back-Up Trust</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22</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4.05. Inability to Determine Rates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22</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4.06. Illegality.</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25</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V CONDITIONS TO EFFECTIVENESS AND INVESTMENTS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25</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5.01. Conditions Precedent to Effectiveness and the Initial Investment</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25</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5.02. Conditions Precedent to All Investments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26</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5.03. Conditions Precedent to All Releases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26</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5.04. Subordinated Loans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27</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5.05. Separate Existence of the Seller</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27</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VI ADMINISTRATION AND COLLECTION OF RECEIVABLES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31</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6.01. Appointment of the Servicer.</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31</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6.02. Duties of the Servicer</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32</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6.03. Collection Account Arrangements.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33</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6.04. Enforcement Rights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33</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6.05. Responsibilities of the Seller</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36</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6.06. Servicing Fee</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36</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VII EVENTS OF TERMINATION</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37</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7.01. Events of Termination</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37</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VIII THE ADMINISTRATIVE AGENT</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41</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8.01. Authorization and Action</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41</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8.02. Administrative Agent’s Reliance, Etc</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41</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8.03. Administrative Agent and Affiliates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42</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8.04. Indemnification of Administrative Agent</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42</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8" w:type="dxa"/>
            <w:tcBorders/>
            <w:tcMar>
              <w:top w:w="0" w:type="dxa"/>
              <w:left w:w="0" w:type="dxa"/>
              <w:bottom w:w="0" w:type="dxa"/>
              <w:right w:w="0" w:type="dxa"/>
            </w:tcMar>
            <w:vAlign w:val="center"/>
          </w:tcPr>
          <w:p>
            <w:pPr>
              <w:pStyle w:val="TableContents"/>
              <w:bidi w:val="0"/>
              <w:spacing w:before="0" w:after="283"/>
              <w:jc w:val="left"/>
              <w:rPr/>
            </w:pPr>
            <w:r>
              <w:rPr/>
              <w:t> </w:t>
            </w:r>
          </w:p>
        </w:tc>
        <w:tc>
          <w:tcPr>
            <w:tcW w:w="81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8.05. Delegation of Duties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42</w:t>
            </w:r>
          </w:p>
        </w:tc>
        <w:tc>
          <w:tcPr>
            <w:tcW w:w="64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4"/>
        </w:rPr>
      </w:pPr>
      <w:r>
        <w:rPr>
          <w:rFonts w:ascii="Times New Roman" w:hAnsi="Times New Roman"/>
          <w:color w:val="000000"/>
          <w:sz w:val="24"/>
        </w:rPr>
        <w:t>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334" w:type="dxa"/>
        <w:jc w:val="left"/>
        <w:tblInd w:w="0" w:type="dxa"/>
        <w:tblLayout w:type="fixed"/>
        <w:tblCellMar>
          <w:top w:w="28" w:type="dxa"/>
          <w:left w:w="28" w:type="dxa"/>
          <w:bottom w:w="28" w:type="dxa"/>
          <w:right w:w="28" w:type="dxa"/>
        </w:tblCellMar>
      </w:tblPr>
      <w:tblGrid>
        <w:gridCol w:w="161"/>
        <w:gridCol w:w="7636"/>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76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8.06. Action or Inaction by Administrative Agent</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42</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8.07. Notice of Events of Termination; Action by Administrative Agent</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43</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8.08. Non-Reliance on Administrative Agent and Other Parties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43</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8.09. Successor Administrative Agent</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43</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8.10. Structuring Agent</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8.11. Benchmark Replacement Notification.</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8.12. UK Security Trustee Provisions.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8.13. Administrative Agent Holding German Collateral.</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8.14. Administrative Agent holding Italian Collateral</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8.15. Abstract Acknowledgment of Parallel Obligations.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47</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9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IX THE GROUP AGENTS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48</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9.01. Authorization and Action</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48</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9.02. Group Agent’s Reliance, Etc</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48</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9.03. Group Agent and Affiliates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48</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9.04. Indemnification of Group Agents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49</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9.05. Delegation of Duties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49</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9.06. Notice of Events of Termination</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49</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9.07. Non-Reliance on Group Agent and Other Parties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49</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9.08. Successor Group Agent</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9.09. Reliance on Group Agent</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9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X SELLER GUARANTEE</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10.01. Guarantee of Payment</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10.02. Unconditional Guarantee</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10.03. Modifications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52</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10.04. Waiver of Rights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52</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10.05. Reinstatement</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53</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10.06. Remedies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53</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10.07. Subrogation</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10.08. Inducement</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10.09. Further Assurances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9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XI MISCELLANEOUS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11.01. Amendments, Etc</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11.02. Notices, Etc</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11.03. Assignability; Addition of Purchasers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11.04. Costs and Expenses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58</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Section 11.05. No Proceedings; Limitation on Payments; Limited Recourse </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58</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11.06. Confidentiality</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59</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11.07. Execution in Counterparts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11.08. Integration; Binding Effect; Survival of Termination</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61</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11.09. Ratable Payments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61</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11.10. Limitation of Liability</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61</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11.11. Intent of the Parties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61</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11.12. USA Patriot Act</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62</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11.13. Right of Setoff</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62</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11.14. Severability</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62</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11.15. Mutual Negotiations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62</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11.16. Captions and Cross References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62</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4"/>
        </w:rPr>
      </w:pPr>
      <w:r>
        <w:rPr>
          <w:rFonts w:ascii="Times New Roman" w:hAnsi="Times New Roman"/>
          <w:color w:val="000000"/>
          <w:sz w:val="24"/>
        </w:rPr>
        <w:t>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304" w:type="dxa"/>
        <w:jc w:val="left"/>
        <w:tblInd w:w="0" w:type="dxa"/>
        <w:tblLayout w:type="fixed"/>
        <w:tblCellMar>
          <w:top w:w="28" w:type="dxa"/>
          <w:left w:w="28" w:type="dxa"/>
          <w:bottom w:w="28" w:type="dxa"/>
          <w:right w:w="28" w:type="dxa"/>
        </w:tblCellMar>
      </w:tblPr>
      <w:tblGrid>
        <w:gridCol w:w="161"/>
        <w:gridCol w:w="7606"/>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76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11.17. Bail-in Action</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63</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11.18. Judgment Currency</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63</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11.19. Third Party Rights</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11.20. Governing law and jurisdiction.</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11.21. EU Securitisation Regulation and UK Securitisation Framework</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11.22. Execution as a deed.</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11.23. Agent for service.</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11.24. Bail-In Recognition</w:t>
            </w:r>
          </w:p>
        </w:tc>
        <w:tc>
          <w:tcPr>
            <w:tcW w:w="3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663" w:type="dxa"/>
        <w:jc w:val="left"/>
        <w:tblInd w:w="0" w:type="dxa"/>
        <w:tblLayout w:type="fixed"/>
        <w:tblCellMar>
          <w:top w:w="28" w:type="dxa"/>
          <w:left w:w="28" w:type="dxa"/>
          <w:bottom w:w="28" w:type="dxa"/>
          <w:right w:w="28" w:type="dxa"/>
        </w:tblCellMar>
      </w:tblPr>
      <w:tblGrid>
        <w:gridCol w:w="1726"/>
        <w:gridCol w:w="226"/>
        <w:gridCol w:w="7711"/>
      </w:tblGrid>
      <w:tr>
        <w:trPr/>
        <w:tc>
          <w:tcPr>
            <w:tcW w:w="17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11" w:type="dxa"/>
            <w:tcBorders/>
            <w:vAlign w:val="center"/>
          </w:tcPr>
          <w:p>
            <w:pPr>
              <w:pStyle w:val="TableContents"/>
              <w:bidi w:val="0"/>
              <w:spacing w:before="0" w:after="283"/>
              <w:jc w:val="left"/>
              <w:rPr>
                <w:sz w:val="4"/>
                <w:szCs w:val="4"/>
              </w:rPr>
            </w:pPr>
            <w:r>
              <w:rPr>
                <w:sz w:val="4"/>
                <w:szCs w:val="4"/>
              </w:rPr>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EXHIBITS</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EXHIBIT A</w:t>
            </w:r>
          </w:p>
        </w:tc>
        <w:tc>
          <w:tcPr>
            <w:tcW w:w="2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Form of Investment Request</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EXHIBIT B</w:t>
            </w:r>
          </w:p>
        </w:tc>
        <w:tc>
          <w:tcPr>
            <w:tcW w:w="2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Form of Reduction Notice</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EXHIBIT C</w:t>
            </w:r>
          </w:p>
        </w:tc>
        <w:tc>
          <w:tcPr>
            <w:tcW w:w="2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Form of Assignment and Acceptance Agreement </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EXHIBIT D</w:t>
            </w:r>
          </w:p>
        </w:tc>
        <w:tc>
          <w:tcPr>
            <w:tcW w:w="2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Form of Assumption Agreement</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EXHIBIT E</w:t>
            </w:r>
          </w:p>
        </w:tc>
        <w:tc>
          <w:tcPr>
            <w:tcW w:w="2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Credit and Collection Policy </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EXHIBIT F</w:t>
            </w:r>
          </w:p>
        </w:tc>
        <w:tc>
          <w:tcPr>
            <w:tcW w:w="2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Form of Monthly Report </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EXHIBIT G</w:t>
            </w:r>
          </w:p>
        </w:tc>
        <w:tc>
          <w:tcPr>
            <w:tcW w:w="2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Form of Compliance Certificate </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EXHIBIT H</w:t>
            </w:r>
          </w:p>
        </w:tc>
        <w:tc>
          <w:tcPr>
            <w:tcW w:w="2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Closing Memorandum </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EXHIBIT I</w:t>
            </w:r>
          </w:p>
        </w:tc>
        <w:tc>
          <w:tcPr>
            <w:tcW w:w="2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Form of Weekly Report</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EXHIBIT J</w:t>
            </w:r>
          </w:p>
        </w:tc>
        <w:tc>
          <w:tcPr>
            <w:tcW w:w="2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Special Obligors</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EXHIBIT K</w:t>
            </w:r>
          </w:p>
        </w:tc>
        <w:tc>
          <w:tcPr>
            <w:tcW w:w="2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Eligible Obligor Country Ratings Grid</w:t>
            </w:r>
          </w:p>
        </w:tc>
      </w:tr>
      <w:tr>
        <w:trPr/>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SCHEDULES</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SCHEDULE I</w:t>
            </w:r>
          </w:p>
        </w:tc>
        <w:tc>
          <w:tcPr>
            <w:tcW w:w="2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Commitments</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SCHEDULE II</w:t>
            </w:r>
          </w:p>
        </w:tc>
        <w:tc>
          <w:tcPr>
            <w:tcW w:w="2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Collection Accounts, Seller Collection Accounts and Collection Account Banks</w:t>
            </w:r>
          </w:p>
        </w:tc>
      </w:tr>
      <w:tr>
        <w:trPr/>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SCHEDULE III</w:t>
            </w:r>
          </w:p>
        </w:tc>
        <w:tc>
          <w:tcPr>
            <w:tcW w:w="2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Initial Schedule of Sold Receivables </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SCHEDULE IV</w:t>
            </w:r>
          </w:p>
        </w:tc>
        <w:tc>
          <w:tcPr>
            <w:tcW w:w="22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Eligible Obligor Countries</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4"/>
        </w:rPr>
      </w:pPr>
      <w:r>
        <w:rPr>
          <w:rFonts w:ascii="Times New Roman" w:hAnsi="Times New Roman"/>
          <w:color w:val="000000"/>
          <w:sz w:val="24"/>
        </w:rPr>
        <w:t xml:space="preserve">This RECEIVABLES PURCHASE AGREEMENT was made on 19 October 2023 (the </w:t>
      </w:r>
      <w:r>
        <w:rPr>
          <w:rFonts w:ascii="Times New Roman" w:hAnsi="Times New Roman"/>
          <w:color w:val="000000"/>
          <w:sz w:val="24"/>
          <w:u w:val="single"/>
        </w:rPr>
        <w:t>“Agreeme</w:t>
      </w:r>
      <w:r>
        <w:rPr>
          <w:rFonts w:ascii="Times New Roman" w:hAnsi="Times New Roman"/>
          <w:color w:val="000000"/>
          <w:sz w:val="24"/>
        </w:rPr>
        <w:t>nt”) and is amended and restated on 24 September 2026 by and among the follow ing parties: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ASHLAND INTERNATIONAL RECEIVABLES DESIGNATED ACTIVITY COMPANY, a designated activity company incorporated in Ireland with company number 745736, whose registered office is at Ground Floor, Two Dockland Central, Guild Street, North Dock, Dublin 1, D01 K2C5, Ireland, as Seller (together with its successors and assigns, the “Seller”);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the Persons from time to time party hereto as Purchasers and Group Agents;</w:t>
      </w:r>
    </w:p>
    <w:p>
      <w:pPr>
        <w:pStyle w:val="TextBody"/>
        <w:bidi w:val="0"/>
        <w:spacing w:before="240" w:after="283"/>
        <w:jc w:val="both"/>
        <w:rPr>
          <w:rFonts w:ascii="Times New Roman" w:hAnsi="Times New Roman"/>
          <w:sz w:val="24"/>
        </w:rPr>
      </w:pPr>
      <w:r>
        <w:rPr>
          <w:rFonts w:ascii="Times New Roman" w:hAnsi="Times New Roman"/>
          <w:color w:val="000000"/>
          <w:sz w:val="24"/>
        </w:rPr>
        <w:t>(iii) BANK OF AMERICA, N.A. (“</w:t>
      </w:r>
      <w:r>
        <w:rPr>
          <w:rFonts w:ascii="Times New Roman" w:hAnsi="Times New Roman"/>
          <w:color w:val="000000"/>
          <w:sz w:val="24"/>
          <w:u w:val="single"/>
        </w:rPr>
        <w:t>Bank of America</w:t>
      </w:r>
      <w:r>
        <w:rPr>
          <w:rFonts w:ascii="Times New Roman" w:hAnsi="Times New Roman"/>
          <w:color w:val="000000"/>
          <w:sz w:val="24"/>
        </w:rPr>
        <w:t>”), as Administrative Agent and Structuring Agent;</w:t>
      </w:r>
    </w:p>
    <w:p>
      <w:pPr>
        <w:pStyle w:val="TextBody"/>
        <w:bidi w:val="0"/>
        <w:spacing w:before="240" w:after="283"/>
        <w:jc w:val="both"/>
        <w:rPr>
          <w:rFonts w:ascii="Times New Roman" w:hAnsi="Times New Roman"/>
          <w:sz w:val="24"/>
        </w:rPr>
      </w:pPr>
      <w:r>
        <w:rPr>
          <w:rFonts w:ascii="Times New Roman" w:hAnsi="Times New Roman"/>
          <w:color w:val="000000"/>
          <w:sz w:val="24"/>
        </w:rPr>
        <w:t>(iv) ASHLAND INC., a Delaware corporation, in its individual capacity (initial “</w:t>
      </w:r>
      <w:r>
        <w:rPr>
          <w:rFonts w:ascii="Times New Roman" w:hAnsi="Times New Roman"/>
          <w:color w:val="000000"/>
          <w:sz w:val="24"/>
          <w:u w:val="single"/>
        </w:rPr>
        <w:t>Performance Guarantor</w:t>
      </w:r>
      <w:r>
        <w:rPr>
          <w:rFonts w:ascii="Times New Roman" w:hAnsi="Times New Roman"/>
          <w:color w:val="000000"/>
          <w:sz w:val="24"/>
        </w:rPr>
        <w:t>” and “</w:t>
      </w:r>
      <w:r>
        <w:rPr>
          <w:rFonts w:ascii="Times New Roman" w:hAnsi="Times New Roman"/>
          <w:color w:val="000000"/>
          <w:sz w:val="24"/>
          <w:u w:val="single"/>
        </w:rPr>
        <w:t>Ashland</w:t>
      </w:r>
      <w:r>
        <w:rPr>
          <w:rFonts w:ascii="Times New Roman" w:hAnsi="Times New Roman"/>
          <w:color w:val="000000"/>
          <w:sz w:val="24"/>
        </w:rPr>
        <w:t>”);</w:t>
      </w:r>
    </w:p>
    <w:p>
      <w:pPr>
        <w:pStyle w:val="TextBody"/>
        <w:bidi w:val="0"/>
        <w:spacing w:before="240" w:after="283"/>
        <w:jc w:val="both"/>
        <w:rPr>
          <w:rFonts w:ascii="Times New Roman" w:hAnsi="Times New Roman"/>
          <w:sz w:val="24"/>
        </w:rPr>
      </w:pPr>
      <w:r>
        <w:rPr>
          <w:rFonts w:ascii="Times New Roman" w:hAnsi="Times New Roman"/>
          <w:color w:val="000000"/>
          <w:sz w:val="24"/>
        </w:rPr>
        <w:t>(v) ASHLAND SPECIALTIES IRELAND LIMITED a private limited company incorporated in Ireland with company number 431715 and having its registered office address at National Science Park, Building V, Dublin Rd, Petitswood, Mullingar, Co. Westmeath, N91 F6PD, Ireland as initial Servicer (in such capacity, together with its successors and assigns in such capacity, the “</w:t>
      </w:r>
      <w:r>
        <w:rPr>
          <w:rFonts w:ascii="Times New Roman" w:hAnsi="Times New Roman"/>
          <w:color w:val="000000"/>
          <w:sz w:val="24"/>
          <w:u w:val="single"/>
        </w:rPr>
        <w:t>Servicer</w:t>
      </w:r>
      <w:r>
        <w:rPr>
          <w:rFonts w:ascii="Times New Roman" w:hAnsi="Times New Roman"/>
          <w:color w:val="000000"/>
          <w:sz w:val="24"/>
        </w:rPr>
        <w:t>”) and as parent of the Seller, the “</w:t>
      </w:r>
      <w:r>
        <w:rPr>
          <w:rFonts w:ascii="Times New Roman" w:hAnsi="Times New Roman"/>
          <w:color w:val="000000"/>
          <w:sz w:val="24"/>
          <w:u w:val="single"/>
        </w:rPr>
        <w:t>Parent</w:t>
      </w:r>
      <w:r>
        <w:rPr>
          <w:rFonts w:ascii="Times New Roman" w:hAnsi="Times New Roman"/>
          <w:color w:val="000000"/>
          <w:sz w:val="24"/>
        </w:rPr>
        <w:t>” and;</w:t>
      </w:r>
    </w:p>
    <w:p>
      <w:pPr>
        <w:pStyle w:val="TextBody"/>
        <w:bidi w:val="0"/>
        <w:spacing w:before="240" w:after="283"/>
        <w:jc w:val="both"/>
        <w:rPr>
          <w:rFonts w:ascii="Times New Roman" w:hAnsi="Times New Roman"/>
          <w:sz w:val="20"/>
        </w:rPr>
      </w:pPr>
      <w:r>
        <w:rPr>
          <w:rFonts w:ascii="Times New Roman" w:hAnsi="Times New Roman"/>
          <w:color w:val="000000"/>
          <w:sz w:val="24"/>
        </w:rPr>
        <w:t>(vi) ASHLAND</w:t>
      </w:r>
      <w:r>
        <w:rPr>
          <w:rFonts w:ascii="Times New Roman" w:hAnsi="Times New Roman"/>
          <w:color w:val="000000"/>
          <w:sz w:val="20"/>
        </w:rPr>
        <w:t xml:space="preserve"> </w:t>
      </w:r>
      <w:r>
        <w:rPr>
          <w:rFonts w:ascii="Times New Roman" w:hAnsi="Times New Roman"/>
          <w:color w:val="000000"/>
          <w:sz w:val="24"/>
        </w:rPr>
        <w:t>INDUSTRIES</w:t>
      </w:r>
      <w:r>
        <w:rPr>
          <w:rFonts w:ascii="Times New Roman" w:hAnsi="Times New Roman"/>
          <w:color w:val="000000"/>
          <w:sz w:val="20"/>
        </w:rPr>
        <w:t xml:space="preserve"> </w:t>
      </w:r>
      <w:r>
        <w:rPr>
          <w:rFonts w:ascii="Times New Roman" w:hAnsi="Times New Roman"/>
          <w:color w:val="000000"/>
          <w:sz w:val="24"/>
        </w:rPr>
        <w:t>DEUTSCHLAND</w:t>
      </w:r>
      <w:r>
        <w:rPr>
          <w:rFonts w:ascii="Times New Roman" w:hAnsi="Times New Roman"/>
          <w:color w:val="000000"/>
          <w:sz w:val="20"/>
        </w:rPr>
        <w:t xml:space="preserve"> </w:t>
      </w:r>
      <w:r>
        <w:rPr>
          <w:rFonts w:ascii="Times New Roman" w:hAnsi="Times New Roman"/>
          <w:color w:val="000000"/>
          <w:sz w:val="24"/>
        </w:rPr>
        <w:t>GMBH</w:t>
      </w:r>
      <w:r>
        <w:rPr>
          <w:rFonts w:ascii="Times New Roman" w:hAnsi="Times New Roman"/>
          <w:color w:val="000000"/>
          <w:sz w:val="20"/>
        </w:rPr>
        <w:t xml:space="preserve"> </w:t>
      </w: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 xml:space="preserve">German </w:t>
      </w:r>
      <w:r>
        <w:rPr>
          <w:rFonts w:ascii="Times New Roman" w:hAnsi="Times New Roman"/>
          <w:color w:val="000000"/>
          <w:sz w:val="20"/>
        </w:rPr>
        <w:t>Originator.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PRELIMINARY STATEMENTS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Seller has acquired, and will acquire from time to time, Receivables from the Originators pursuant to the Purchase and Sale Agreements. The Seller desires to sell certain of the Receivables to the Purchasers and, in connection therewith, has requested that the Purchasers make Investments from time to time on the terms, and subject to the conditions set forth herein. The Seller is a special purpose company wholly-owned by the Parent whose primary activities are restricted in its constitution.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Agreement is executed by the above parties and delivered as a deed.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consideration of the mutual agreements, provisions and covenants contained herein, the sufficiency of which is hereby acknowledged, the parties hereto agree as follows:</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 xml:space="preserve">ARTICLE I </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DEFINITIONS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1.01. </w:t>
      </w:r>
      <w:r>
        <w:rPr>
          <w:rFonts w:ascii="Times New Roman" w:hAnsi="Times New Roman"/>
          <w:color w:val="000000"/>
          <w:sz w:val="24"/>
          <w:u w:val="single"/>
        </w:rPr>
        <w:t>Definitions and Interpretation</w:t>
      </w:r>
      <w:r>
        <w:rPr>
          <w:rFonts w:ascii="Times New Roman" w:hAnsi="Times New Roman"/>
          <w:color w:val="000000"/>
          <w:sz w:val="24"/>
        </w:rPr>
        <w:t xml:space="preserve">. Unless otherwise defined in this Agreement or the context requires otherwise, words and expressions used in this Agreement have the meanings and constructions ascribed to them in the Amended and Restated Master Framework Agreement, which is dated on or about the date of this Agreement and entered into by the parties to this Agreement and others (as the same may be amended, varied and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supplemented from time to time with the consent of the parties thereto). This Agreement shall be construed in accordance with the principles of construction and interpretation set out in the Master Framework Agreement. In the event of a conflict between the Master Framework Agreement and this Agreement, this Agreement shall prevail.</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1.02. </w:t>
      </w:r>
      <w:r>
        <w:rPr>
          <w:rFonts w:ascii="Times New Roman" w:hAnsi="Times New Roman"/>
          <w:color w:val="000000"/>
          <w:sz w:val="24"/>
          <w:u w:val="single"/>
        </w:rPr>
        <w:t>Other Interpretative Matters</w:t>
      </w:r>
      <w:r>
        <w:rPr>
          <w:rFonts w:ascii="Times New Roman" w:hAnsi="Times New Roman"/>
          <w:color w:val="000000"/>
          <w:sz w:val="24"/>
        </w:rPr>
        <w:t>. All accounting terms not specifically defined herein shall be construed in accordance with GAAP. Unless otherwise expressly indicated, all references herein to “Article,” “Section,” “Schedule”, “Exhibit” or “Annex” shall mean articles and sections of, and schedules, exhibits and annexes to, this Agreement. For purposes of this Agreement, the other Transaction Documents and all such certificates and other documents, unless the context otherwise requires: (a) references to any amount as on deposit or outstanding on any particular date means such amount at the close of business on such day; (b) the words “hereof,” “herein” and “hereunder” and words of similar import refer to such agreement (or the certificate or other document in which they are used) as a whole and not to any particular provision of such agreement (or such certificate or document); (c) references to any Article, Section, Schedule, Exhibit or Annex are references to Articles, Sections, Schedules, Exhibits and Annexes in or to such agreement (or the certificate or other document in which the reference is made), and references to any paragraph, subsection, clause or other subdivision within any Section or definition refer to such paragraph, subsection, clause or other subdivision of such Section or definition; (d) the term “including” means “including without limitation”; (e) references to any Applicable Law refer to that Applicable Law as amended from time to time and include any successor Applicable Law; (f) references to any agreement refer to that agreement as from time to time amended, restated or supplemented or as the terms of such agreement are waived or modified in accordance with its terms; (g) references to any Person include that Person’s permitted successors and assigns; (h) headings are for purposes of reference only and shall not otherwise affect the meaning or interpretation of any provision hereof; (i) unless otherwise provided, in the calculation of time from a specified date to a later specified date, the term “from” means “from and including”, and the terms “to” and “until” each means “to but excluding”; (j) terms in one gender include the parallel terms in the neuter and opposite gender; (k) references to any amount as on deposit or outstanding on any particular date means such amount at the close of business on such day and</w:t>
      </w:r>
    </w:p>
    <w:p>
      <w:pPr>
        <w:pStyle w:val="TextBody"/>
        <w:bidi w:val="0"/>
        <w:jc w:val="both"/>
        <w:rPr>
          <w:rFonts w:ascii="Times New Roman" w:hAnsi="Times New Roman"/>
          <w:color w:val="000000"/>
          <w:sz w:val="24"/>
        </w:rPr>
      </w:pPr>
      <w:r>
        <w:rPr>
          <w:rFonts w:ascii="Times New Roman" w:hAnsi="Times New Roman"/>
          <w:color w:val="000000"/>
          <w:sz w:val="24"/>
        </w:rPr>
        <w:t>(l) the term “or” is not exclusive.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1.03. </w:t>
      </w:r>
      <w:r>
        <w:rPr>
          <w:rFonts w:ascii="Times New Roman" w:hAnsi="Times New Roman"/>
          <w:color w:val="000000"/>
          <w:sz w:val="24"/>
          <w:u w:val="single"/>
        </w:rPr>
        <w:t>Conforming Changes Relating to Relevant Rate</w:t>
      </w:r>
      <w:r>
        <w:rPr>
          <w:rFonts w:ascii="Times New Roman" w:hAnsi="Times New Roman"/>
          <w:color w:val="000000"/>
          <w:sz w:val="24"/>
        </w:rPr>
        <w:t xml:space="preserve">. With respect to any of the Relevant Rates, the Administrative Agent will have the right to make Conforming Changes from time to time with the consent of the Group Agents and, notwithstanding anything to the contrary herein or in any other Transaction Document, any amendments implementing such Conforming Changes will become effective without any further action or consent of any other party (other than the Group Agents) to this Agreement or any other Transaction Document; </w:t>
      </w:r>
      <w:r>
        <w:rPr>
          <w:rFonts w:ascii="Times New Roman" w:hAnsi="Times New Roman"/>
          <w:color w:val="000000"/>
          <w:sz w:val="24"/>
          <w:u w:val="single"/>
        </w:rPr>
        <w:t>provided</w:t>
      </w:r>
      <w:r>
        <w:rPr>
          <w:rFonts w:ascii="Times New Roman" w:hAnsi="Times New Roman"/>
          <w:color w:val="000000"/>
          <w:sz w:val="24"/>
        </w:rPr>
        <w:t xml:space="preserve"> that, with respect to any such amendment effected, the Administrative Agent shall provide notice to the Seller and each Group Agent of each such amendment implementing such Conforming Changes reasonably promptly after such amendment becomes effective.</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Section 1.04. </w:t>
      </w:r>
      <w:r>
        <w:rPr>
          <w:rFonts w:ascii="Times New Roman" w:hAnsi="Times New Roman"/>
          <w:color w:val="000000"/>
          <w:sz w:val="24"/>
          <w:u w:val="single"/>
        </w:rPr>
        <w:t>Exchange Rates; Currency Equivalents.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 The Servicer shall determine the Euro Equivalent amounts of Investments and Outstanding Amounts denominated in Alternative Currencies and list such amounts in the relevant Investment Requests and Information Packages (as applicable). Such Euro Equivalent shall become effective as of such Revaluation Date and shall be the Euro Equivalent of such amounts until the next Revaluation Date to occur. Except for purposes of financial statements delivered by the Seller Parties hereunder or calculating Financial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Covenants hereunder or except as otherwise provided herein, the applicable amount of any currency (other than Euros) for purposes of the Transaction Documents shall be such Euro Equivalent amount as so determined by the Servicer.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Wherever in this Agreement in connection with an Investment, conversion or repayment of Capital an amount (such as a required minimum or multiple amount) is expressed in Euros, but such Investment is denominated in an Alternative Currency, such amount shall be the relevant Alternative Currency Equivalent of such Euro amount (rounded to the nearest unit of such Alternative Currency, with 0.5 of a unit being rounded upward), as determined by the Servicer in accordance with the definition of Alternative Currency Equivalent in the Master Framework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Section 1.05.Additional Alternative Currencies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The Seller may from time to time request that Investments of Capital be made in a currency other than Euros or those specifically listed in the definition of “Alternative Currency”; provided that such requested currency is an Eligible Currency. In the case of any such request with respect to the making of Investments of Capital, such request shall be subject to the approval of the Administrative Agent and each Group Agent.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Any such request shall be made to the Administrative Agent not later than 5:00 p.m. (London time), twenty (20) Business Days prior to the date of the desired Investment (or such other time or date as may be agreed by the Administrative Agent in its or their sole discretion). In the case of any such request pertaining to Capital, the Administrative Agent shall promptly notify each Group Agent thereof. Each Group Agent shall notify the Administrative Agent, not later than 5:00 p.m. (London time), ten (10) Business Days after receipt of such request whether it consents, in its sole discretion, to the making of investments of Capital in such requested currency.</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(c) Any failure by a Purchaser to respond to such request within the time period specified in the preceding sentence shall be deemed to be a refusal by such Purchaser to permit Capital in such requested currency. If the Administrative Agent and all the Purchasers consent to making Investment in Capital in such requested currency and the Administrative Agent and such Purchasers reasonably determine that an appropriate interest rate is available to be used for such requested currency, the Administrative Agent shall so notify the Seller and (i) the Administrative Agent and such Group Agents may amend the definition of Relevant Rate to the extent necessary to add the applicable rate for such currency and any applicable adjustment for such rate and (ii) to the extent the definition of Relevant Rate, as applicable, has been amended to reflect the appropriate rate for such currency, such currency shall thereupon be deemed for all purposes to be an Alternative Currency for purposes of any Capital and Investments thereof. If the Administrative Agent shall fail to obtain consent to any request for an additional currency under this </w:t>
      </w:r>
      <w:r>
        <w:rPr>
          <w:rFonts w:ascii="Times New Roman" w:hAnsi="Times New Roman"/>
          <w:color w:val="000000"/>
          <w:sz w:val="24"/>
          <w:u w:val="single"/>
        </w:rPr>
        <w:t>Section 1.05(c)</w:t>
      </w:r>
      <w:r>
        <w:rPr>
          <w:rFonts w:ascii="Times New Roman" w:hAnsi="Times New Roman"/>
          <w:color w:val="000000"/>
          <w:sz w:val="24"/>
        </w:rPr>
        <w:t>, the Administrative Agent shall promptly so notify the Seller.</w:t>
      </w:r>
    </w:p>
    <w:p>
      <w:pPr>
        <w:pStyle w:val="TextBody"/>
        <w:bidi w:val="0"/>
        <w:spacing w:before="240" w:after="283"/>
        <w:jc w:val="left"/>
        <w:rPr>
          <w:rFonts w:ascii="Times New Roman" w:hAnsi="Times New Roman"/>
          <w:sz w:val="24"/>
        </w:rPr>
      </w:pPr>
      <w:r>
        <w:rPr>
          <w:rFonts w:ascii="Times New Roman" w:hAnsi="Times New Roman"/>
          <w:color w:val="000000"/>
          <w:sz w:val="24"/>
        </w:rPr>
        <w:t>Section 1.06.</w:t>
      </w:r>
      <w:r>
        <w:rPr>
          <w:rFonts w:ascii="Times New Roman" w:hAnsi="Times New Roman"/>
          <w:color w:val="000000"/>
          <w:sz w:val="24"/>
          <w:u w:val="single"/>
        </w:rPr>
        <w:t>Change of Currency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 Each obligation of the Seller to make a payment denominated in the national currency unit of any member state of the European Union that adopts the Euro as its lawful currency after the Closing Date shall be redenominated into Euro at the time of such adoption. If, in relation to the currency of any such member state, the basis of yield expressed in this Agreement in respect of that currency shall be inconsistent with any convention or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practice in the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hAnsi="Times New Roman"/>
          <w:color w:val="000000"/>
          <w:sz w:val="24"/>
          <w:u w:val="single"/>
        </w:rPr>
        <w:t>provided</w:t>
      </w:r>
      <w:r>
        <w:rPr>
          <w:rFonts w:ascii="Times New Roman" w:hAnsi="Times New Roman"/>
          <w:color w:val="000000"/>
          <w:sz w:val="24"/>
        </w:rPr>
        <w:t xml:space="preserve"> that, if any Investment in the currency of such member state is outstanding immediately prior to such date, such replacement shall take effect, with respect to such Investment, at the end of the then current Yield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II</w:t>
      </w:r>
    </w:p>
    <w:p>
      <w:pPr>
        <w:pStyle w:val="TextBody"/>
        <w:bidi w:val="0"/>
        <w:spacing w:before="240" w:after="283"/>
        <w:jc w:val="center"/>
        <w:rPr>
          <w:rFonts w:ascii="Times New Roman" w:hAnsi="Times New Roman"/>
          <w:sz w:val="24"/>
        </w:rPr>
      </w:pPr>
      <w:r>
        <w:rPr>
          <w:rFonts w:ascii="Times New Roman" w:hAnsi="Times New Roman"/>
          <w:b/>
          <w:color w:val="000000"/>
          <w:sz w:val="24"/>
        </w:rPr>
        <w:t>TERMS</w:t>
      </w:r>
      <w:r>
        <w:rPr>
          <w:rFonts w:ascii="Times New Roman" w:hAnsi="Times New Roman"/>
          <w:color w:val="000000"/>
          <w:sz w:val="24"/>
        </w:rPr>
        <w:t xml:space="preserve"> </w:t>
      </w:r>
      <w:r>
        <w:rPr>
          <w:rFonts w:ascii="Times New Roman" w:hAnsi="Times New Roman"/>
          <w:b/>
          <w:color w:val="000000"/>
          <w:sz w:val="24"/>
        </w:rPr>
        <w:t>OF</w:t>
      </w:r>
      <w:r>
        <w:rPr>
          <w:rFonts w:ascii="Times New Roman" w:hAnsi="Times New Roman"/>
          <w:color w:val="000000"/>
          <w:sz w:val="24"/>
        </w:rPr>
        <w:t xml:space="preserve"> </w:t>
      </w:r>
      <w:r>
        <w:rPr>
          <w:rFonts w:ascii="Times New Roman" w:hAnsi="Times New Roman"/>
          <w:b/>
          <w:color w:val="000000"/>
          <w:sz w:val="24"/>
        </w:rPr>
        <w:t>THE</w:t>
      </w:r>
      <w:r>
        <w:rPr>
          <w:rFonts w:ascii="Times New Roman" w:hAnsi="Times New Roman"/>
          <w:color w:val="000000"/>
          <w:sz w:val="24"/>
        </w:rPr>
        <w:t xml:space="preserve"> </w:t>
      </w:r>
      <w:r>
        <w:rPr>
          <w:rFonts w:ascii="Times New Roman" w:hAnsi="Times New Roman"/>
          <w:b/>
          <w:color w:val="000000"/>
          <w:sz w:val="24"/>
        </w:rPr>
        <w:t>PURCHASES</w:t>
      </w:r>
      <w:r>
        <w:rPr>
          <w:rFonts w:ascii="Times New Roman" w:hAnsi="Times New Roman"/>
          <w:color w:val="000000"/>
          <w:sz w:val="24"/>
        </w:rPr>
        <w:t xml:space="preserve"> </w:t>
      </w:r>
      <w:r>
        <w:rPr>
          <w:rFonts w:ascii="Times New Roman" w:hAnsi="Times New Roman"/>
          <w:b/>
          <w:color w:val="000000"/>
          <w:sz w:val="24"/>
        </w:rPr>
        <w:t>AND</w:t>
      </w:r>
      <w:r>
        <w:rPr>
          <w:rFonts w:ascii="Times New Roman" w:hAnsi="Times New Roman"/>
          <w:color w:val="000000"/>
          <w:sz w:val="24"/>
        </w:rPr>
        <w:t xml:space="preserve"> </w:t>
      </w:r>
      <w:r>
        <w:rPr>
          <w:rFonts w:ascii="Times New Roman" w:hAnsi="Times New Roman"/>
          <w:b/>
          <w:color w:val="000000"/>
          <w:sz w:val="24"/>
        </w:rPr>
        <w:t>INVESTMENTS</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Section 2.01. </w:t>
      </w:r>
      <w:r>
        <w:rPr>
          <w:rFonts w:ascii="Times New Roman" w:hAnsi="Times New Roman"/>
          <w:color w:val="000000"/>
          <w:sz w:val="24"/>
          <w:u w:val="single"/>
        </w:rPr>
        <w:t>Purchase Facility</w:t>
      </w:r>
      <w:r>
        <w:rPr>
          <w:rFonts w:ascii="Times New Roman" w:hAnsi="Times New Roman"/>
          <w:color w:val="000000"/>
          <w:sz w:val="24"/>
        </w:rPr>
        <w: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w:t>
      </w:r>
      <w:r>
        <w:rPr>
          <w:rFonts w:ascii="Times New Roman" w:hAnsi="Times New Roman"/>
          <w:i/>
          <w:color w:val="000000"/>
          <w:sz w:val="24"/>
        </w:rPr>
        <w:t>Investments</w:t>
      </w:r>
      <w:r>
        <w:rPr>
          <w:rFonts w:ascii="Times New Roman" w:hAnsi="Times New Roman"/>
          <w:color w:val="000000"/>
          <w:sz w:val="24"/>
        </w:rPr>
        <w:t xml:space="preserve">. Upon a request by the Seller pursuant to </w:t>
      </w:r>
      <w:r>
        <w:rPr>
          <w:rFonts w:ascii="Times New Roman" w:hAnsi="Times New Roman"/>
          <w:color w:val="000000"/>
          <w:sz w:val="24"/>
          <w:u w:val="single"/>
        </w:rPr>
        <w:t>Section 2.02</w:t>
      </w:r>
      <w:r>
        <w:rPr>
          <w:rFonts w:ascii="Times New Roman" w:hAnsi="Times New Roman"/>
          <w:color w:val="000000"/>
          <w:sz w:val="24"/>
        </w:rPr>
        <w:t>, and on the terms and subject to the conditions hereinafter set forth, the Conduit Purchasers, ratably, in accordance with the aggregate of the Commitments of the Related Committed Purchasers with respect to each such Conduit Purchaser, severally and not jointly, may, in their sole discretion, make payments of Capital in Euro or in one or more Alternative Currencies to the Seller on a revolving basis, and if and to the extent any Conduit Purchaser does not make any such payment of Capital or if any Group does not include a Conduit Purchaser, the Related Committed Purchaser(s) for such Conduit Purchaser or the Committed Purchaser for such Group, as the case may be, shall, ratably in accordance with their respective Commitments, severally and not jointly, make such payment of Capital to the Seller, in either case, from time to time during the period from the Closing Date to the Termination Date. Each such payment of Capital by a Purchaser to the Seller shall constitute an Investment hereunder for all purposes. Under no circumstances shall any Purchaser be obligated to make any Investment if, after giving effect thereto: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the Aggregate Capital would exceed the Facility Limit at such time;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(ii) the sum of (A) the Capital of such Purchaser, </w:t>
      </w:r>
      <w:r>
        <w:rPr>
          <w:rFonts w:ascii="Times New Roman" w:hAnsi="Times New Roman"/>
          <w:color w:val="000000"/>
          <w:sz w:val="24"/>
          <w:u w:val="single"/>
        </w:rPr>
        <w:t>plus</w:t>
      </w:r>
      <w:r>
        <w:rPr>
          <w:rFonts w:ascii="Times New Roman" w:hAnsi="Times New Roman"/>
          <w:color w:val="000000"/>
          <w:sz w:val="24"/>
        </w:rPr>
        <w:t xml:space="preserve"> (B) the aggregate outstanding Capital of each other Purchaser in its Group would exceed the Group Commitment of such Purchaser’s Group;</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if such Purchaser is a Committed Purchaser, the aggregate outstanding Capital of such Committed Purchaser would exceed its Commitment;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 the Aggregate Capital would exceed the Capital Coverage Amount at such time;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 the aggregate outstanding amount of all Investments in such currency would exceed the applicable Currency Sublimit.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w:t>
      </w:r>
      <w:r>
        <w:rPr>
          <w:rFonts w:ascii="Times New Roman" w:hAnsi="Times New Roman"/>
          <w:i/>
          <w:color w:val="000000"/>
          <w:sz w:val="24"/>
        </w:rPr>
        <w:t>Sale and assignment of Receivables and Other Sold Assets</w:t>
      </w:r>
      <w:r>
        <w:rPr>
          <w:rFonts w:ascii="Times New Roman" w:hAnsi="Times New Roman"/>
          <w:color w:val="000000"/>
          <w:sz w:val="24"/>
        </w:rPr>
        <w:t>. In consideration of the Purchasers’ respective agreements to make Investments in accordance with the terms hereof, the Seller, on the Closing Date, on the date of each Investment and on each other date occurring on or prior to the Termination Date, agrees to sell, assign and transfer and hereby sells, assigns and transfers to the Administrative Agent and the Administrative Agent agrees to purchase and accept such assignment and transfer and hereby purchases and accepts such assignment and transfer (for the ratable benefit of the Purchasers according to their Capital as increased or reduced from time to time hereunder), all of the Seller’s right, title and interest in, to and under all of the following, whether now or hereafter owned, existing or arising (collectively, the “</w:t>
      </w:r>
      <w:r>
        <w:rPr>
          <w:rFonts w:ascii="Times New Roman" w:hAnsi="Times New Roman"/>
          <w:color w:val="000000"/>
          <w:sz w:val="24"/>
          <w:u w:val="single"/>
        </w:rPr>
        <w:t>Sold Assets</w:t>
      </w:r>
      <w:r>
        <w:rPr>
          <w:rFonts w:ascii="Times New Roman" w:hAnsi="Times New Roman"/>
          <w:color w:val="000000"/>
          <w:sz w:val="24"/>
        </w:rPr>
        <w:t>”): (i) all Sold Receivables, (ii) all Related Rights with respect to such Sold Receivables, (iii) all Collections with respect to such Sold Receivables and (iv) all proceeds of the foregoing. Such sales, assignments and transfers by the Seller shall, in each case, occur and be deemed to occur for all purposes in accordance with the terms hereof automatically without further action, notice or consent of any party.</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(c) </w:t>
      </w:r>
      <w:r>
        <w:rPr>
          <w:rFonts w:ascii="Times New Roman" w:hAnsi="Times New Roman"/>
          <w:i/>
          <w:color w:val="000000"/>
          <w:sz w:val="24"/>
        </w:rPr>
        <w:t>Intended</w:t>
      </w:r>
      <w:r>
        <w:rPr>
          <w:rFonts w:ascii="Times New Roman" w:hAnsi="Times New Roman"/>
          <w:color w:val="000000"/>
          <w:sz w:val="24"/>
        </w:rPr>
        <w:t xml:space="preserve"> </w:t>
      </w:r>
      <w:r>
        <w:rPr>
          <w:rFonts w:ascii="Times New Roman" w:hAnsi="Times New Roman"/>
          <w:i/>
          <w:color w:val="000000"/>
          <w:sz w:val="24"/>
        </w:rPr>
        <w:t>Characterization</w:t>
      </w:r>
      <w:r>
        <w:rPr>
          <w:rFonts w:ascii="Times New Roman" w:hAnsi="Times New Roman"/>
          <w:color w:val="000000"/>
          <w:sz w:val="24"/>
        </w:rPr>
        <w:t xml:space="preserve"> </w:t>
      </w:r>
      <w:r>
        <w:rPr>
          <w:rFonts w:ascii="Times New Roman" w:hAnsi="Times New Roman"/>
          <w:i/>
          <w:color w:val="000000"/>
          <w:sz w:val="24"/>
        </w:rPr>
        <w:t>as</w:t>
      </w:r>
      <w:r>
        <w:rPr>
          <w:rFonts w:ascii="Times New Roman" w:hAnsi="Times New Roman"/>
          <w:color w:val="000000"/>
          <w:sz w:val="24"/>
        </w:rPr>
        <w:t xml:space="preserve"> </w:t>
      </w:r>
      <w:r>
        <w:rPr>
          <w:rFonts w:ascii="Times New Roman" w:hAnsi="Times New Roman"/>
          <w:i/>
          <w:color w:val="000000"/>
          <w:sz w:val="24"/>
        </w:rPr>
        <w:t>a</w:t>
      </w:r>
      <w:r>
        <w:rPr>
          <w:rFonts w:ascii="Times New Roman" w:hAnsi="Times New Roman"/>
          <w:color w:val="000000"/>
          <w:sz w:val="24"/>
        </w:rPr>
        <w:t xml:space="preserve"> </w:t>
      </w:r>
      <w:r>
        <w:rPr>
          <w:rFonts w:ascii="Times New Roman" w:hAnsi="Times New Roman"/>
          <w:i/>
          <w:color w:val="000000"/>
          <w:sz w:val="24"/>
        </w:rPr>
        <w:t>Purchase</w:t>
      </w:r>
      <w:r>
        <w:rPr>
          <w:rFonts w:ascii="Times New Roman" w:hAnsi="Times New Roman"/>
          <w:color w:val="000000"/>
          <w:sz w:val="24"/>
        </w:rPr>
        <w:t xml:space="preserve"> </w:t>
      </w:r>
      <w:r>
        <w:rPr>
          <w:rFonts w:ascii="Times New Roman" w:hAnsi="Times New Roman"/>
          <w:i/>
          <w:color w:val="000000"/>
          <w:sz w:val="24"/>
        </w:rPr>
        <w:t>and</w:t>
      </w:r>
      <w:r>
        <w:rPr>
          <w:rFonts w:ascii="Times New Roman" w:hAnsi="Times New Roman"/>
          <w:color w:val="000000"/>
          <w:sz w:val="24"/>
        </w:rPr>
        <w:t xml:space="preserve"> </w:t>
      </w:r>
      <w:r>
        <w:rPr>
          <w:rFonts w:ascii="Times New Roman" w:hAnsi="Times New Roman"/>
          <w:i/>
          <w:color w:val="000000"/>
          <w:sz w:val="24"/>
        </w:rPr>
        <w:t>Sale</w:t>
      </w:r>
      <w:r>
        <w:rPr>
          <w:rFonts w:ascii="Times New Roman" w:hAnsi="Times New Roman"/>
          <w:color w:val="000000"/>
          <w:sz w:val="24"/>
        </w:rPr>
        <w:t xml:space="preserve">. It is the intention of the parties to this Agreement that the assignment and transfer and conveyance of the Seller’s right, title and interest in, to and under the Sold Assets to the Administrative Agent (for the ratable benefit of the Purchasers according to their Capital as increased or reduced from time to time hereunder) pursuant to this Agreement shall constitute a purchase and sale and not a pledge for security, and such purchase and sale of the Sold Assets hereunder shall be treated as a sale for all purposes (except as provided in </w:t>
      </w:r>
      <w:r>
        <w:rPr>
          <w:rFonts w:ascii="Times New Roman" w:hAnsi="Times New Roman"/>
          <w:color w:val="000000"/>
          <w:sz w:val="24"/>
          <w:u w:val="single"/>
        </w:rPr>
        <w:t>Section 2.01(d))</w:t>
      </w:r>
      <w:r>
        <w:rPr>
          <w:rFonts w:ascii="Times New Roman" w:hAnsi="Times New Roman"/>
          <w:color w:val="000000"/>
          <w:sz w:val="24"/>
        </w:rPr>
        <w: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(d) </w:t>
      </w:r>
      <w:r>
        <w:rPr>
          <w:rFonts w:ascii="Times New Roman" w:hAnsi="Times New Roman"/>
          <w:i/>
          <w:color w:val="000000"/>
          <w:sz w:val="24"/>
        </w:rPr>
        <w:t>Obligations</w:t>
      </w:r>
      <w:r>
        <w:rPr>
          <w:rFonts w:ascii="Times New Roman" w:hAnsi="Times New Roman"/>
          <w:color w:val="000000"/>
          <w:sz w:val="24"/>
        </w:rPr>
        <w:t xml:space="preserve"> </w:t>
      </w:r>
      <w:r>
        <w:rPr>
          <w:rFonts w:ascii="Times New Roman" w:hAnsi="Times New Roman"/>
          <w:i/>
          <w:color w:val="000000"/>
          <w:sz w:val="24"/>
        </w:rPr>
        <w:t>Not</w:t>
      </w:r>
      <w:r>
        <w:rPr>
          <w:rFonts w:ascii="Times New Roman" w:hAnsi="Times New Roman"/>
          <w:color w:val="000000"/>
          <w:sz w:val="24"/>
        </w:rPr>
        <w:t xml:space="preserve"> </w:t>
      </w:r>
      <w:r>
        <w:rPr>
          <w:rFonts w:ascii="Times New Roman" w:hAnsi="Times New Roman"/>
          <w:i/>
          <w:color w:val="000000"/>
          <w:sz w:val="24"/>
        </w:rPr>
        <w:t>Assumed</w:t>
      </w:r>
      <w:r>
        <w:rPr>
          <w:rFonts w:ascii="Times New Roman" w:hAnsi="Times New Roman"/>
          <w:color w:val="000000"/>
          <w:sz w:val="24"/>
        </w:rPr>
        <w:t xml:space="preserve">. Notwithstanding any provision contained in this Agreement or any other Transaction Document to the contrary, the foregoing sale, assignment, transfer and conveyance set forth in </w:t>
      </w:r>
      <w:r>
        <w:rPr>
          <w:rFonts w:ascii="Times New Roman" w:hAnsi="Times New Roman"/>
          <w:color w:val="000000"/>
          <w:sz w:val="24"/>
          <w:u w:val="single"/>
        </w:rPr>
        <w:t>Section 2.01(b)</w:t>
      </w:r>
      <w:r>
        <w:rPr>
          <w:rFonts w:ascii="Times New Roman" w:hAnsi="Times New Roman"/>
          <w:color w:val="000000"/>
          <w:sz w:val="24"/>
        </w:rPr>
        <w:t xml:space="preserve"> does not constitute, and is not intended to result in, the creation or an assumption by the Administrative Agent, any Group Agent or any Purchaser of any obligation or liability of the Seller, any Originator, the Servicer, or any other Person under or in connection with all, or any portion of, any Sold Assets, all of which shall remain the obligations and liabilities of the Seller, the Originators, the Servicer and such other Persons, as applicable.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(e) </w:t>
      </w:r>
      <w:r>
        <w:rPr>
          <w:rFonts w:ascii="Times New Roman" w:hAnsi="Times New Roman"/>
          <w:i/>
          <w:color w:val="000000"/>
          <w:sz w:val="24"/>
        </w:rPr>
        <w:t>Selection, Designation and Reporting of Sold Receivables.</w:t>
      </w:r>
      <w:r>
        <w:rPr>
          <w:rFonts w:ascii="Times New Roman" w:hAnsi="Times New Roman"/>
          <w:color w:val="000000"/>
          <w:sz w:val="24"/>
        </w:rPr>
        <w:t xml:space="preserve"> The Seller (or the Servicer on its behalf) shall select and identify from the Pool Receivables all Sold Receivables to be sold pursuant to </w:t>
      </w:r>
      <w:r>
        <w:rPr>
          <w:rFonts w:ascii="Times New Roman" w:hAnsi="Times New Roman"/>
          <w:color w:val="000000"/>
          <w:sz w:val="24"/>
          <w:u w:val="single"/>
        </w:rPr>
        <w:t>Section 2.01(b)</w:t>
      </w:r>
      <w:r>
        <w:rPr>
          <w:rFonts w:ascii="Times New Roman" w:hAnsi="Times New Roman"/>
          <w:color w:val="000000"/>
          <w:sz w:val="24"/>
        </w:rPr>
        <w:t xml:space="preserve"> in its sole discretion;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 the Seller shall select Sold Receivables from the Pool Receivables on an invoice-by-invoice basis, and the Seller shall transfer pursuant to </w:t>
      </w:r>
      <w:r>
        <w:rPr>
          <w:rFonts w:ascii="Times New Roman" w:hAnsi="Times New Roman"/>
          <w:color w:val="000000"/>
          <w:sz w:val="24"/>
          <w:u w:val="single"/>
        </w:rPr>
        <w:t>Section 2.01(b)</w:t>
      </w:r>
      <w:r>
        <w:rPr>
          <w:rFonts w:ascii="Times New Roman" w:hAnsi="Times New Roman"/>
          <w:color w:val="000000"/>
          <w:sz w:val="24"/>
        </w:rPr>
        <w:t xml:space="preserve"> 100% of its interest in any invoice that reflects Sold Receivables, such that all Receivables reflected or evidenced by such an invoice shall be included as Sold Receivables, and (ii) the Seller shall not select Sold Receivables in a manner that causes the aggregate Outstanding Balance of Sold Receivables to exceed the Aggregate Capital. The Seller shall maintain (or cause the Servicer to maintain) books and records sufficient to readily identify the Sold Receivables. The Seller and Servicer shall cause all Sold Receivables to be identified on each Investment Request in accordance with Section 2.02(a) (using a selection method satisfactory to the Purchasers acting reasonably and provided such selection method shall not require the Seller and Servicers to act in breach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of any relevant laws or regulations) and on each Information Package and Weekly Report delivered hereunder.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(f) </w:t>
      </w:r>
      <w:r>
        <w:rPr>
          <w:rFonts w:ascii="Times New Roman" w:hAnsi="Times New Roman"/>
          <w:i/>
          <w:color w:val="000000"/>
          <w:sz w:val="24"/>
        </w:rPr>
        <w:t>Audit Right</w:t>
      </w:r>
      <w:r>
        <w:rPr>
          <w:rFonts w:ascii="Times New Roman" w:hAnsi="Times New Roman"/>
          <w:color w:val="000000"/>
          <w:sz w:val="24"/>
        </w:rPr>
        <w:t>. The Administrative Agent shall be entitled to review the Contracts relating to the top 20 Obligors comprising the Pool Receivables, by giving the Seller and the Servicer 10 Business Days’ notice. The Administrative Agent may only make one audit request pursuant to this Section 2.01(f) per calendar year.</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Section 2.02. </w:t>
      </w:r>
      <w:r>
        <w:rPr>
          <w:rFonts w:ascii="Times New Roman" w:hAnsi="Times New Roman"/>
          <w:color w:val="000000"/>
          <w:sz w:val="24"/>
          <w:u w:val="single"/>
        </w:rPr>
        <w:t>Making Investments; Return of Capital</w:t>
      </w:r>
      <w:r>
        <w:rPr>
          <w:rFonts w:ascii="Times New Roman" w:hAnsi="Times New Roman"/>
          <w:color w:val="000000"/>
          <w:sz w:val="24"/>
        </w:rPr>
        <w: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Each Investment hereunder shall be made on the prior written request from the Seller to the Administrative Agent and the relevant Group Agent in the form of an Investment Request attached hereto as </w:t>
      </w:r>
      <w:r>
        <w:rPr>
          <w:rFonts w:ascii="Times New Roman" w:hAnsi="Times New Roman"/>
          <w:color w:val="000000"/>
          <w:sz w:val="24"/>
          <w:u w:val="single"/>
        </w:rPr>
        <w:t>Exhibit A</w:t>
      </w:r>
      <w:r>
        <w:rPr>
          <w:rFonts w:ascii="Times New Roman" w:hAnsi="Times New Roman"/>
          <w:color w:val="000000"/>
          <w:sz w:val="24"/>
        </w:rPr>
        <w:t>. Each such Investment Request must be received by the Administrative Agent and the relevant Group Agent not later than 3:00 p.m. (London time) on the fifth Business Day immediately prior to the relevant Monthly Settlement Date (a “</w:t>
      </w:r>
      <w:r>
        <w:rPr>
          <w:rFonts w:ascii="Times New Roman" w:hAnsi="Times New Roman"/>
          <w:color w:val="000000"/>
          <w:sz w:val="24"/>
          <w:u w:val="single"/>
        </w:rPr>
        <w:t>Monthly Investment Request</w:t>
      </w:r>
      <w:r>
        <w:rPr>
          <w:rFonts w:ascii="Times New Roman" w:hAnsi="Times New Roman"/>
          <w:color w:val="000000"/>
          <w:sz w:val="24"/>
        </w:rPr>
        <w:t xml:space="preserve">”). Each Investment of Capital shall be in a principal amount of the Euro Equivalent of €5,000,000 or a whole multiple of the Euro Equivalent of €1,000,000 in excess thereof. Each such Investment Request shall specify (i) the amount of Capital requested in each applicable currency, the Euro Equivalent and the Spot Rate used in determining the Euro Equivalent, (ii) the allocation of such amount among the Groups (which shall be ratable based on the Group Commitments), (iii) the accounts to which the Capital of such Investment shall be distributed, (iv) all Pool Receivables that are or, effective upon the making of such Investment, will be, Sold Receivables (v) the requested date of the Investment (which shall be a Business Day), and (vi) if applicable, the duration of the Yield Period with respect thereto. Except as provided pursuant to </w:t>
      </w:r>
      <w:r>
        <w:rPr>
          <w:rFonts w:ascii="Times New Roman" w:hAnsi="Times New Roman"/>
          <w:color w:val="000000"/>
          <w:sz w:val="24"/>
          <w:u w:val="single"/>
        </w:rPr>
        <w:t>Section 4.05</w:t>
      </w:r>
      <w:r>
        <w:rPr>
          <w:rFonts w:ascii="Times New Roman" w:hAnsi="Times New Roman"/>
          <w:color w:val="000000"/>
          <w:sz w:val="24"/>
        </w:rPr>
        <w:t>, no Capital may be converted into or continued as Capital denominated in a different currency, but instead must be repaid in full in the original currency of such Capital and re-requested as a new Investment in other currency.</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On the Monthly Settlement Date, following a Monthly Investment Request, the Purchasers shall, upon satisfaction of the applicable conditions set forth in </w:t>
      </w:r>
      <w:r>
        <w:rPr>
          <w:rFonts w:ascii="Times New Roman" w:hAnsi="Times New Roman"/>
          <w:color w:val="000000"/>
          <w:sz w:val="24"/>
          <w:u w:val="single"/>
        </w:rPr>
        <w:t>Article</w:t>
      </w:r>
      <w:r>
        <w:rPr>
          <w:rFonts w:ascii="Times New Roman" w:hAnsi="Times New Roman"/>
          <w:color w:val="000000"/>
          <w:sz w:val="24"/>
        </w:rPr>
        <w:t xml:space="preserve"> </w:t>
      </w:r>
      <w:r>
        <w:rPr>
          <w:rFonts w:ascii="Times New Roman" w:hAnsi="Times New Roman"/>
          <w:color w:val="000000"/>
          <w:sz w:val="24"/>
          <w:u w:val="single"/>
        </w:rPr>
        <w:t xml:space="preserve">V </w:t>
      </w:r>
      <w:r>
        <w:rPr>
          <w:rFonts w:ascii="Times New Roman" w:hAnsi="Times New Roman"/>
          <w:color w:val="000000"/>
          <w:sz w:val="24"/>
        </w:rPr>
        <w:t xml:space="preserve">and pursuant to the other conditions set forth in this </w:t>
      </w:r>
      <w:r>
        <w:rPr>
          <w:rFonts w:ascii="Times New Roman" w:hAnsi="Times New Roman"/>
          <w:color w:val="000000"/>
          <w:sz w:val="24"/>
          <w:u w:val="single"/>
        </w:rPr>
        <w:t>Article II</w:t>
      </w:r>
      <w:r>
        <w:rPr>
          <w:rFonts w:ascii="Times New Roman" w:hAnsi="Times New Roman"/>
          <w:color w:val="000000"/>
          <w:sz w:val="24"/>
        </w:rPr>
        <w:t>, make available to the Seller in same day funds an aggregate amount equal to the amount of Capital requested, at the accounts set forth in the related Investment Request.</w:t>
      </w:r>
    </w:p>
    <w:p>
      <w:pPr>
        <w:pStyle w:val="TextBody"/>
        <w:bidi w:val="0"/>
        <w:spacing w:before="240" w:after="283"/>
        <w:jc w:val="both"/>
        <w:rPr>
          <w:rFonts w:ascii="Times New Roman" w:hAnsi="Times New Roman"/>
          <w:sz w:val="24"/>
        </w:rPr>
      </w:pPr>
      <w:r>
        <w:rPr>
          <w:rFonts w:ascii="Times New Roman" w:hAnsi="Times New Roman"/>
          <w:color w:val="000000"/>
          <w:sz w:val="24"/>
        </w:rPr>
        <w:t>(c) Each Committed Purchaser’s obligation shall be several, such that the failure of any Committed Purchaser to make available to the Seller any funds in connection with any Investment shall not relieve any other Committed Purchaser of its obligation, if any, hereunder to make funds available on the date such Investments are requested (</w:t>
      </w:r>
      <w:r>
        <w:rPr>
          <w:rFonts w:ascii="Times New Roman" w:hAnsi="Times New Roman"/>
          <w:color w:val="000000"/>
          <w:sz w:val="24"/>
          <w:u w:val="single"/>
        </w:rPr>
        <w:t>it</w:t>
      </w:r>
      <w:r>
        <w:rPr>
          <w:rFonts w:ascii="Times New Roman" w:hAnsi="Times New Roman"/>
          <w:color w:val="000000"/>
          <w:sz w:val="24"/>
        </w:rPr>
        <w:t xml:space="preserve"> </w:t>
      </w:r>
      <w:r>
        <w:rPr>
          <w:rFonts w:ascii="Times New Roman" w:hAnsi="Times New Roman"/>
          <w:color w:val="000000"/>
          <w:sz w:val="24"/>
          <w:u w:val="single"/>
        </w:rPr>
        <w:t>being</w:t>
      </w:r>
      <w:r>
        <w:rPr>
          <w:rFonts w:ascii="Times New Roman" w:hAnsi="Times New Roman"/>
          <w:color w:val="000000"/>
          <w:sz w:val="24"/>
        </w:rPr>
        <w:t xml:space="preserve"> </w:t>
      </w:r>
      <w:r>
        <w:rPr>
          <w:rFonts w:ascii="Times New Roman" w:hAnsi="Times New Roman"/>
          <w:color w:val="000000"/>
          <w:sz w:val="24"/>
          <w:u w:val="single"/>
        </w:rPr>
        <w:t>understood</w:t>
      </w:r>
      <w:r>
        <w:rPr>
          <w:rFonts w:ascii="Times New Roman" w:hAnsi="Times New Roman"/>
          <w:color w:val="000000"/>
          <w:sz w:val="24"/>
        </w:rPr>
        <w:t>, that no Committed Purchaser shall be responsible for the failure of any other Committed Purchaser to make funds available to the Seller in connection with any Investment hereunder).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(d) The Seller shall return in full the outstanding Capital of each Purchaser on the Seller Obligation Final Due Date. Prior thereto, the Seller shall, on each Settlement Date, reduce the outstanding Capital of the Purchasers to the extent required under </w:t>
      </w:r>
      <w:r>
        <w:rPr>
          <w:rFonts w:ascii="Times New Roman" w:hAnsi="Times New Roman"/>
          <w:color w:val="000000"/>
          <w:sz w:val="24"/>
          <w:u w:val="single"/>
        </w:rPr>
        <w:t>Section 3.01</w:t>
      </w:r>
      <w:r>
        <w:rPr>
          <w:rFonts w:ascii="Times New Roman" w:hAnsi="Times New Roman"/>
          <w:color w:val="000000"/>
          <w:sz w:val="24"/>
        </w:rPr>
        <w:t xml:space="preserve"> and otherwise in accordance with such </w:t>
      </w:r>
      <w:r>
        <w:rPr>
          <w:rFonts w:ascii="Times New Roman" w:hAnsi="Times New Roman"/>
          <w:color w:val="000000"/>
          <w:sz w:val="24"/>
          <w:u w:val="single"/>
        </w:rPr>
        <w:t>Section 3.01</w:t>
      </w:r>
      <w:r>
        <w:rPr>
          <w:rFonts w:ascii="Times New Roman" w:hAnsi="Times New Roman"/>
          <w:color w:val="000000"/>
          <w:sz w:val="24"/>
        </w:rPr>
        <w:t xml:space="preserve"> (subject to the priorities for payment set forth therein) by paying the amount of such reduction to the Purchasers in accordance with </w:t>
      </w:r>
      <w:r>
        <w:rPr>
          <w:rFonts w:ascii="Times New Roman" w:hAnsi="Times New Roman"/>
          <w:color w:val="000000"/>
          <w:sz w:val="24"/>
          <w:u w:val="single"/>
        </w:rPr>
        <w:t>Section 3.02</w:t>
      </w:r>
      <w:r>
        <w:rPr>
          <w:rFonts w:ascii="Times New Roman" w:hAnsi="Times New Roman"/>
          <w:color w:val="000000"/>
          <w:sz w:val="24"/>
        </w:rPr>
        <w:t xml:space="preserve">. Notwithstanding the foregoing, the Seller, in its discretion, shall have the right to reduce, in whole or in part by payment in accordance with </w:t>
      </w:r>
      <w:r>
        <w:rPr>
          <w:rFonts w:ascii="Times New Roman" w:hAnsi="Times New Roman"/>
          <w:color w:val="000000"/>
          <w:sz w:val="24"/>
          <w:u w:val="single"/>
        </w:rPr>
        <w:t>Section 3.02</w:t>
      </w:r>
      <w:r>
        <w:rPr>
          <w:rFonts w:ascii="Times New Roman" w:hAnsi="Times New Roman"/>
          <w:color w:val="000000"/>
          <w:sz w:val="24"/>
        </w:rPr>
        <w:t xml:space="preserve">, the outstanding Capital of the Purchasers upon written notice on the last Business Day of each calendar quarter until the Scheduled Termination Date to the Administrative Agent and each Group Agent in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the form of a Reduction Notice attached hereto as </w:t>
      </w:r>
      <w:r>
        <w:rPr>
          <w:rFonts w:ascii="Times New Roman" w:hAnsi="Times New Roman"/>
          <w:color w:val="000000"/>
          <w:sz w:val="24"/>
          <w:u w:val="single"/>
        </w:rPr>
        <w:t>Exhibit B</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i/>
          <w:color w:val="000000"/>
          <w:sz w:val="24"/>
        </w:rPr>
        <w:t xml:space="preserve">, </w:t>
      </w:r>
      <w:r>
        <w:rPr>
          <w:rFonts w:ascii="Times New Roman" w:hAnsi="Times New Roman"/>
          <w:color w:val="000000"/>
          <w:sz w:val="24"/>
        </w:rPr>
        <w:t>that (i) each such reduction shall be in a minimum aggregate amount of the Euro Equivalent of €5,000,000 or integral multiples of the Euro Equivalent of €1,000,000 in excess thereof, and (ii) any payment in respect of the portion(s) of Capital so reduced shall be paid in full on the immediately following Optional Reduction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 The Seller may, at any time upon at least ten (10) Business Days’ prior written notice to the Administrative Agent and each Group Agent, terminate the Facility Limit in whole or ratably reduce the Facility Limit in part to be effective as at the preceding Settlement Date. Each partial reduction in the Facility Limit shall be in a minimum aggregate amount of the Euro Equivalent of €5,000,000 or integral multiples of the Euro Equivalent of €1,000,000 in excess thereof, and no such partial reduction shall reduce the Facility Limit to an amount less than the Euro Equivalent of €75,000,000. In connection with any partial reduction in the Facility Limit, the Commitment of each Committed Purchaser and the respective Currency Sublimits shall be ratably reduced.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 In connection with any reduction of the Commitments, the Seller shall remit to the Administrative Agent (i) instructions regarding such reduction and (ii) for payment to the Purchasers, cash in an amount sufficient to pay (A) Capital of Purchasers in each Group in excess of the Group Commitment of such Group and (B) all other outstanding Seller Obligations with respect to such reduction (determined based on the ratio of the reduction of the Commitments being effected to the amount of the Commitments prior to such reduction or, if the Administrative Agent reasonably determines that any portion of the outstanding Seller Obligations is allocable solely to that portion of the Commitments being reduced or has arisen solely as a result of such reduction, all of such portion) including, without duplication, any associated indemnity payments due under Section 4.02. Upon receipt of any such amounts, the Administrative Agent shall apply such amounts first to the reduction of the outstanding Capital, and second to the payment of the remaining outstanding Seller Obligations with respect to such reduction, including any indemnity payments due under Section 4.02, by paying such amounts to the Purchasers. For the avoidance of doubt, no reduction of the Commitments in accordance with this Section 2.02(f) shall constitute a repurchase of Receivables by the Seller.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 Each Investment of Capital made hereunder to the Seller in connection with a Pool Receivable shall be in the currency equal to the currency of that Pool Receivable, provided it is an Agreed Currency.</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Section 2.03. </w:t>
      </w:r>
      <w:r>
        <w:rPr>
          <w:rFonts w:ascii="Times New Roman" w:hAnsi="Times New Roman"/>
          <w:color w:val="000000"/>
          <w:sz w:val="24"/>
          <w:u w:val="single"/>
        </w:rPr>
        <w:t>Yield and Fees</w:t>
      </w:r>
      <w:r>
        <w:rPr>
          <w:rFonts w:ascii="Times New Roman" w:hAnsi="Times New Roman"/>
          <w:color w:val="000000"/>
          <w:sz w:val="24"/>
        </w:rPr>
        <w: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Fees</w:t>
      </w:r>
      <w:r>
        <w:rPr>
          <w:rFonts w:ascii="Times New Roman" w:hAnsi="Times New Roman"/>
          <w:color w:val="000000"/>
          <w:sz w:val="24"/>
        </w:rPr>
        <w:t xml:space="preserve">. On each Settlement Date, the Seller shall, in accordance with the terms and priorities for payment set forth in </w:t>
      </w:r>
      <w:r>
        <w:rPr>
          <w:rFonts w:ascii="Times New Roman" w:hAnsi="Times New Roman"/>
          <w:color w:val="000000"/>
          <w:sz w:val="24"/>
          <w:u w:val="single"/>
        </w:rPr>
        <w:t>Section 3.01</w:t>
      </w:r>
      <w:r>
        <w:rPr>
          <w:rFonts w:ascii="Times New Roman" w:hAnsi="Times New Roman"/>
          <w:color w:val="000000"/>
          <w:sz w:val="24"/>
        </w:rPr>
        <w:t>, pay to each Group Agent, each Purchaser, the Administrative Agent and the Structuring Agent certain fees (collectively, the “</w:t>
      </w:r>
      <w:r>
        <w:rPr>
          <w:rFonts w:ascii="Times New Roman" w:hAnsi="Times New Roman"/>
          <w:color w:val="000000"/>
          <w:sz w:val="24"/>
          <w:u w:val="single"/>
        </w:rPr>
        <w:t>Fees</w:t>
      </w:r>
      <w:r>
        <w:rPr>
          <w:rFonts w:ascii="Times New Roman" w:hAnsi="Times New Roman"/>
          <w:color w:val="000000"/>
          <w:sz w:val="24"/>
        </w:rPr>
        <w:t>”) in the amounts set forth in the fee letter agreements from time to time entered into, among the Seller, the members of the applicable Group (or their Group Agent on their behalf) and/or the Administrative Agent (each such fee letter agreement, as amended, restated, supplemented or otherwise modified from time to time, collectively being referred to herein as the “</w:t>
      </w:r>
      <w:r>
        <w:rPr>
          <w:rFonts w:ascii="Times New Roman" w:hAnsi="Times New Roman"/>
          <w:color w:val="000000"/>
          <w:sz w:val="24"/>
          <w:u w:val="single"/>
        </w:rPr>
        <w:t>Fee Letter</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Yield and Fees</w:t>
      </w:r>
      <w:r>
        <w:rPr>
          <w:rFonts w:ascii="Times New Roman" w:hAnsi="Times New Roman"/>
          <w:color w:val="000000"/>
          <w:sz w:val="24"/>
        </w:rPr>
        <w:t xml:space="preserve">. Each Purchaser’s Capital shall accrue Yield on each day when such Capital remains outstanding at the then applicable Yield Rate for such Capital (or each applicable portion thereof). The Seller shall pay all Yield (including, for the avoidance of doubt, all Yield accrued during a Yield Period), Fees and indemnity payments due under Section 4.02 accrued during each Yield Period on each Settlement Date in arrears in accordance with the terms and priorities for payment set forth in </w:t>
      </w:r>
      <w:r>
        <w:rPr>
          <w:rFonts w:ascii="Times New Roman" w:hAnsi="Times New Roman"/>
          <w:color w:val="000000"/>
          <w:sz w:val="24"/>
          <w:u w:val="single"/>
        </w:rPr>
        <w:t>Section 3.01</w:t>
      </w:r>
      <w:r>
        <w:rPr>
          <w:rFonts w:ascii="Times New Roman" w:hAnsi="Times New Roman"/>
          <w:color w:val="000000"/>
          <w:sz w:val="24"/>
        </w:rPr>
        <w:t>. For the avoidance of doubt, the Seller’s obligation to pay all Fees and Yield hereunder when due shall not be contingent upon the receipt or availability of Collections. Each Purchaser shall furnish the Seller and the Servicer with an invoice at least two Business Days prior to the Monthly Reporting Date setting forth the amount of the Yield and Fees (calculated in accordance with the Fee Letter) that are due and owing on the immediately succeeding Monthly Settlement Date for the applicable Yield Period with respect to such Capital provided by such Purchaser.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Highest Lawful Rate</w:t>
      </w:r>
      <w:r>
        <w:rPr>
          <w:rFonts w:ascii="Times New Roman" w:hAnsi="Times New Roman"/>
          <w:color w:val="000000"/>
          <w:sz w:val="24"/>
        </w:rPr>
        <w:t>. If at any time the designated rate of interest (including the Yield Rate for such purpose) applicable to any Purchaser’s Capital exceeds the highest lawful rate, the rate of interest (including the Yield Rate for such purpose) on such Purchaser’s Capital shall be limited to the highest lawful rate.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 The Seller may call any Purchaser on or before the date on which an Investment Request is to be delivered to receive an indication of the rates then in effect, but it is acknowledged that such projection shall not be binding on the Administrative Agent or the Purchasers nor affect the rate of interest which thereafter is actually in effect when the election is made.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(e) </w:t>
      </w:r>
      <w:r>
        <w:rPr>
          <w:rFonts w:ascii="Times New Roman" w:hAnsi="Times New Roman"/>
          <w:color w:val="000000"/>
          <w:sz w:val="24"/>
          <w:u w:val="single"/>
        </w:rPr>
        <w:t>Yield and Interest After Default</w:t>
      </w:r>
      <w:r>
        <w:rPr>
          <w:rFonts w:ascii="Times New Roman" w:hAnsi="Times New Roman"/>
          <w:color w:val="000000"/>
          <w:sz w:val="24"/>
        </w:rPr>
        <w:t>. To the extent permitted by Law, upon the occurrence of an Event of Termination and until such time such Event of Termination shall have been cured or waived, at the discretion of the Administrative Agent or upon written demand by the Majority Group Agents to the Administrative Agent: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 </w:t>
      </w:r>
      <w:r>
        <w:rPr>
          <w:rFonts w:ascii="Times New Roman" w:hAnsi="Times New Roman"/>
          <w:color w:val="000000"/>
          <w:sz w:val="24"/>
          <w:u w:val="single"/>
        </w:rPr>
        <w:t>Yield Rate</w:t>
      </w:r>
      <w:r>
        <w:rPr>
          <w:rFonts w:ascii="Times New Roman" w:hAnsi="Times New Roman"/>
          <w:color w:val="000000"/>
          <w:sz w:val="24"/>
        </w:rPr>
        <w:t>. The Yield Rate applicable to any Capital shall be increased by 2.00% per annum;</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(ii) </w:t>
      </w:r>
      <w:r>
        <w:rPr>
          <w:rFonts w:ascii="Times New Roman" w:hAnsi="Times New Roman"/>
          <w:color w:val="000000"/>
          <w:sz w:val="24"/>
          <w:u w:val="single"/>
        </w:rPr>
        <w:t>Other Obligations</w:t>
      </w:r>
      <w:r>
        <w:rPr>
          <w:rFonts w:ascii="Times New Roman" w:hAnsi="Times New Roman"/>
          <w:color w:val="000000"/>
          <w:sz w:val="24"/>
        </w:rPr>
        <w:t xml:space="preserve">. Each other obligation of any Seller-Related Party hereunder if not paid when due shall bear interest at a rate per annum equal to the sum of the Base Rate </w:t>
      </w:r>
      <w:r>
        <w:rPr>
          <w:rFonts w:ascii="Times New Roman" w:hAnsi="Times New Roman"/>
          <w:color w:val="000000"/>
          <w:sz w:val="24"/>
          <w:u w:val="single"/>
        </w:rPr>
        <w:t>plus</w:t>
      </w:r>
      <w:r>
        <w:rPr>
          <w:rFonts w:ascii="Times New Roman" w:hAnsi="Times New Roman"/>
          <w:color w:val="000000"/>
          <w:sz w:val="24"/>
        </w:rPr>
        <w:t xml:space="preserve"> an additional 2.00% per annum from the time such obligation becomes due and payable until the time such obligation is paid in full; and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(iii) </w:t>
      </w:r>
      <w:r>
        <w:rPr>
          <w:rFonts w:ascii="Times New Roman" w:hAnsi="Times New Roman"/>
          <w:color w:val="000000"/>
          <w:sz w:val="24"/>
          <w:u w:val="single"/>
        </w:rPr>
        <w:t>Acknowledgment</w:t>
      </w:r>
      <w:r>
        <w:rPr>
          <w:rFonts w:ascii="Times New Roman" w:hAnsi="Times New Roman"/>
          <w:color w:val="000000"/>
          <w:sz w:val="24"/>
        </w:rPr>
        <w:t xml:space="preserve">. The Seller acknowledges that the increase in rates referred to in this </w:t>
      </w:r>
      <w:r>
        <w:rPr>
          <w:rFonts w:ascii="Times New Roman" w:hAnsi="Times New Roman"/>
          <w:color w:val="000000"/>
          <w:sz w:val="24"/>
          <w:u w:val="single"/>
        </w:rPr>
        <w:t>Section 2.03(e)</w:t>
      </w:r>
      <w:r>
        <w:rPr>
          <w:rFonts w:ascii="Times New Roman" w:hAnsi="Times New Roman"/>
          <w:color w:val="000000"/>
          <w:sz w:val="24"/>
        </w:rPr>
        <w:t xml:space="preserve"> reflects, among other things, the fact that such Capital or other amounts have become a substantially greater risk given their default status and that the Purchasers are entitled to additional compensation for such risk; and all such interest or yield shall be payable upon demand by the Administrative Agent or (if earlier) on the first Settlement Date occurring after such interest or yield accrues.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2.04. </w:t>
      </w:r>
      <w:r>
        <w:rPr>
          <w:rFonts w:ascii="Times New Roman" w:hAnsi="Times New Roman"/>
          <w:color w:val="000000"/>
          <w:sz w:val="24"/>
          <w:u w:val="single"/>
        </w:rPr>
        <w:t>Records of Investments and Capital</w:t>
      </w:r>
      <w:r>
        <w:rPr>
          <w:rFonts w:ascii="Times New Roman" w:hAnsi="Times New Roman"/>
          <w:color w:val="000000"/>
          <w:sz w:val="24"/>
        </w:rPr>
        <w:t xml:space="preserve">. Each Group Agent shall record in its records, the date and amount of each Investment made by the Purchasers in its Group hereunder, the Yield Rate with respect to the related Capital (and each portion thereof), the Yield accrued on such Purchasers’ Capital and each repayment and payment thereof. Subject to Section 14.03(c), such records shall be conclusive and binding absent manifest error. The failure to so record any such information or any error in so recording any such information shall not, however, limit or otherwise affect the obligations of the Seller hereunder or under the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other Transaction Documents to repay the Capital of each Purchaser, together with all Yield accruing thereon and all other Seller Obligations.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2.05. </w:t>
      </w:r>
      <w:r>
        <w:rPr>
          <w:rFonts w:ascii="Times New Roman" w:hAnsi="Times New Roman"/>
          <w:color w:val="000000"/>
          <w:sz w:val="24"/>
          <w:u w:val="single"/>
        </w:rPr>
        <w:t>Non-Renewing Purchasers</w:t>
      </w:r>
      <w:r>
        <w:rPr>
          <w:rFonts w:ascii="Times New Roman" w:hAnsi="Times New Roman"/>
          <w:color w:val="000000"/>
          <w:sz w:val="24"/>
        </w:rPr>
        <w:t xml:space="preserve">. If at any time the Seller requests that the Committed Purchasers renew their Commitments hereunder and some but less than all the Committed Purchasers consent to such renewal within sixty (60) days of the Seller’s request, the Seller may arrange for an assignment, and such non-consenting Committed Purchasers shall agree to assign, to one or more financial institutions acceptable to the related Group Agent and the Seller of all the rights and obligations hereunder of each such non-consenting Committed Purchaser in accordance with </w:t>
      </w:r>
      <w:r>
        <w:rPr>
          <w:rFonts w:ascii="Times New Roman" w:hAnsi="Times New Roman"/>
          <w:color w:val="000000"/>
          <w:sz w:val="24"/>
          <w:u w:val="single"/>
        </w:rPr>
        <w:t>Section 11.03</w:t>
      </w:r>
      <w:r>
        <w:rPr>
          <w:rFonts w:ascii="Times New Roman" w:hAnsi="Times New Roman"/>
          <w:color w:val="000000"/>
          <w:sz w:val="24"/>
        </w:rPr>
        <w:t>. Any such assignment shall become effective on the then-current Scheduled Termination Date. Each Committed Purchaser which does not so consent to any renewal shall cooperate fully with the Seller in effectuating any such assignment. If none or less than all the Commitments of the non-renewing Committed Purchasers are so assigned as provided above, then the Scheduled Termination Date shall not be renewed.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2.06. </w:t>
      </w:r>
      <w:r>
        <w:rPr>
          <w:rFonts w:ascii="Times New Roman" w:hAnsi="Times New Roman"/>
          <w:color w:val="000000"/>
          <w:sz w:val="24"/>
          <w:u w:val="single"/>
        </w:rPr>
        <w:t>Replacement of Purchaser Group</w:t>
      </w:r>
      <w:r>
        <w:rPr>
          <w:rFonts w:ascii="Times New Roman" w:hAnsi="Times New Roman"/>
          <w:color w:val="000000"/>
          <w:sz w:val="24"/>
        </w:rPr>
        <w:t>. Notwithstanding any other provision of the Transaction Documents and so long as no Event of Termination exists and is continuing, if (A) (x) the Financial Covenants are amended or are otherwise varied from the Ashland Credit Agreement in effect on the Closing Date and (y) any Committed Purchaser that ceases to be a party to the Ashland Credit Agreement as a lender thereunder (along with all of its Affiliates) fails to consent to such amended or otherwise varied Financial Covenants, or (B) the Seller becomes obliged to pay any amount in accordance with Section 4.06 (Illegality), the Seller may, at its sole expense, upon written notice to the Group Agent for such Committed Purchaser and the Administrative Agent, (i) remove such Committed Purchaser and its Group as a party hereto or (ii) require such Committed Purchaser and its Group to assign and delegate, without recourse (in accordance with and subject to the restrictions contained in, and consents required by, Section 14.03), all of its interests, rights and obligations under this Agreement and the related Transaction Documents to a new or existing Committed Purchaser who agrees to assume such obligations; provided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the Group Agent for such Committed Purchaser shall, on behalf of its Group, have received payment of an amount equal to the Seller Obligations due and payable to its Group hereunder and under the other Transaction Documents from the Seller in the case of a removal pursuant to clause (i) above or from the assignee and the Seller, as applicable, in the case of an assignment pursuant to clause (ii) above;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in the case of an assignment pursuant to clause (ii) above, such assignment does not conflict with Applicable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a Committed Purchaser and its Group shall not be required to be removed from this Agreement or make any such assignment or delegation if, prior thereto, as a result of a waiver or consent by such Committed Purchaser or otherwise, the circumstances entitling the Seller to require such removal or such assignment and delegation cease to apply;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(d) in the case of a removal pursuant to clause (i) above, the Facility Limit shall (x) be reduced by the corresponding amount of such Committed Purchaser’s Commitment and (y) if applicable, concurrently increased up to the amount of the removed Committed Purchaser’s Commitment by the Commitment of any existing Committed Purchaser that has, in its sole discretion, consented to increase its Commitment or new Committed Purchaser that has joined this Agreement by execution of a separate joinder agreement hereto, subject to the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consent of the Group Agents (in their sole discretion); provided that, that in no event shall the Facility Limit be reduced such that the Aggregate Capital will exceed the Facility Limit;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 the Seller shall be permitted to replace any Purchaser which is the Administrative Agent or an Affiliate thereof only, if, in either case, the Administrative Agent is also replaced contemporaneously, pursuant to documents reasonably satisfactory to the Administrative Agent and the Administrative Agent has received payment of an amount equal to all amounts then due and payable to the Administrative Agent hereunder and under each of the other Transaction Document;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 such removal or assignment shall be made upon not less than ten (10) Business Days’ notice delivered by the Seller to the Group Agent for such Committed Purchaser and the Administrative Agent. Any Purchaser required to assign pursuant to this Section 2.06 shall have no duty to procure an assignee.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foregoing removal or assignment will be effective on the date specified in the notice delivered by the Seller to the applicable Group Agent and the Administrative Agent, subject to the satisfaction of the conditions thereto set forth in this Section 2.06.</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2.07. </w:t>
      </w:r>
      <w:r>
        <w:rPr>
          <w:rFonts w:ascii="Times New Roman" w:hAnsi="Times New Roman"/>
          <w:color w:val="000000"/>
          <w:sz w:val="24"/>
          <w:u w:val="single"/>
        </w:rPr>
        <w:t>Status of Conduit Purchasers</w:t>
      </w:r>
      <w:r>
        <w:rPr>
          <w:rFonts w:ascii="Times New Roman" w:hAnsi="Times New Roman"/>
          <w:color w:val="000000"/>
          <w:sz w:val="24"/>
        </w:rPr>
        <w:t>. So long as any Conduit Purchaser holds any Capital, such Conduit Purchaser shall be a multi-seller asset-backed commercial paper conduit and shall ensure that its interests hereunder (including its Capital and its interests in the Sold Assets) will constitute less than 50% of such Conduit Purchaser’s total assets.</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III</w:t>
      </w:r>
    </w:p>
    <w:p>
      <w:pPr>
        <w:pStyle w:val="TextBody"/>
        <w:bidi w:val="0"/>
        <w:spacing w:before="240" w:after="283"/>
        <w:jc w:val="center"/>
        <w:rPr>
          <w:rFonts w:ascii="Times New Roman" w:hAnsi="Times New Roman"/>
          <w:sz w:val="24"/>
        </w:rPr>
      </w:pPr>
      <w:r>
        <w:rPr>
          <w:rFonts w:ascii="Times New Roman" w:hAnsi="Times New Roman"/>
          <w:b/>
          <w:color w:val="000000"/>
          <w:sz w:val="24"/>
        </w:rPr>
        <w:t>SETTLEMENT</w:t>
      </w:r>
      <w:r>
        <w:rPr>
          <w:rFonts w:ascii="Times New Roman" w:hAnsi="Times New Roman"/>
          <w:color w:val="000000"/>
          <w:sz w:val="24"/>
        </w:rPr>
        <w:t xml:space="preserve"> </w:t>
      </w:r>
      <w:r>
        <w:rPr>
          <w:rFonts w:ascii="Times New Roman" w:hAnsi="Times New Roman"/>
          <w:b/>
          <w:color w:val="000000"/>
          <w:sz w:val="24"/>
        </w:rPr>
        <w:t>PROCEDURES</w:t>
      </w:r>
      <w:r>
        <w:rPr>
          <w:rFonts w:ascii="Times New Roman" w:hAnsi="Times New Roman"/>
          <w:color w:val="000000"/>
          <w:sz w:val="24"/>
        </w:rPr>
        <w:t xml:space="preserve"> </w:t>
      </w:r>
      <w:r>
        <w:rPr>
          <w:rFonts w:ascii="Times New Roman" w:hAnsi="Times New Roman"/>
          <w:b/>
          <w:color w:val="000000"/>
          <w:sz w:val="24"/>
        </w:rPr>
        <w:t>AND</w:t>
      </w:r>
      <w:r>
        <w:rPr>
          <w:rFonts w:ascii="Times New Roman" w:hAnsi="Times New Roman"/>
          <w:color w:val="000000"/>
          <w:sz w:val="24"/>
        </w:rPr>
        <w:t xml:space="preserve"> </w:t>
      </w:r>
      <w:r>
        <w:rPr>
          <w:rFonts w:ascii="Times New Roman" w:hAnsi="Times New Roman"/>
          <w:b/>
          <w:color w:val="000000"/>
          <w:sz w:val="24"/>
        </w:rPr>
        <w:t>PAYMENT</w:t>
      </w:r>
      <w:r>
        <w:rPr>
          <w:rFonts w:ascii="Times New Roman" w:hAnsi="Times New Roman"/>
          <w:color w:val="000000"/>
          <w:sz w:val="24"/>
        </w:rPr>
        <w:t xml:space="preserve"> </w:t>
      </w:r>
      <w:r>
        <w:rPr>
          <w:rFonts w:ascii="Times New Roman" w:hAnsi="Times New Roman"/>
          <w:b/>
          <w:color w:val="000000"/>
          <w:sz w:val="24"/>
        </w:rPr>
        <w:t>PROVISIONS</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Section 3.01. </w:t>
      </w:r>
      <w:r>
        <w:rPr>
          <w:rFonts w:ascii="Times New Roman" w:hAnsi="Times New Roman"/>
          <w:color w:val="000000"/>
          <w:sz w:val="24"/>
          <w:u w:val="single"/>
        </w:rPr>
        <w:t>Settlement Procedures</w:t>
      </w:r>
      <w:r>
        <w:rPr>
          <w:rFonts w:ascii="Times New Roman" w:hAnsi="Times New Roman"/>
          <w:color w:val="000000"/>
          <w:sz w:val="24"/>
        </w:rPr>
        <w: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The Servicer (and the Seller where applicable) shall set aside and hold in trust for the benefit of the Secured Parties (or, if so requested by the Administrative Agent, transfer to the Seller Collection Accounts), for application in accordance with the priority of payments set forth below, all Collections on Pool Receivables that are received by the Servicer, the Seller or received in any Collection Account;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so long as each of the conditions precedent set forth in </w:t>
      </w:r>
      <w:r>
        <w:rPr>
          <w:rFonts w:ascii="Times New Roman" w:hAnsi="Times New Roman"/>
          <w:color w:val="000000"/>
          <w:sz w:val="24"/>
          <w:u w:val="single"/>
        </w:rPr>
        <w:t>Section 5.03</w:t>
      </w:r>
      <w:r>
        <w:rPr>
          <w:rFonts w:ascii="Times New Roman" w:hAnsi="Times New Roman"/>
          <w:color w:val="000000"/>
          <w:sz w:val="24"/>
        </w:rPr>
        <w:t xml:space="preserve"> are satisfied on such date, (A) the Servicer may release to the Seller from such Collections received on Unsold Receivables the amount (if any) necessary to pay the purchase price for Receivables purchased by the Seller on such date in accordance with the terms of the Purchase and Sale Agreements and (B) the Servicer may release to the Seller all or a portion of such Collections received on Sold Receivables in exchange for the Seller designating an equivalent amount (based on aggregate Outstanding Balances) of Unsold Receivables as new Sold Receivables on Seller’s books and records pursuant to </w:t>
      </w:r>
      <w:r>
        <w:rPr>
          <w:rFonts w:ascii="Times New Roman" w:hAnsi="Times New Roman"/>
          <w:color w:val="000000"/>
          <w:sz w:val="24"/>
          <w:u w:val="single"/>
        </w:rPr>
        <w:t>Section 2.01(e)</w:t>
      </w:r>
      <w:r>
        <w:rPr>
          <w:rFonts w:ascii="Times New Roman" w:hAnsi="Times New Roman"/>
          <w:color w:val="000000"/>
          <w:sz w:val="24"/>
        </w:rPr>
        <w:t xml:space="preserve">, which new Sold Receivables will be automatically and immediately sold by the Seller to the Administrative Agent (for the ratable benefit of the Purchasers) pursuant to </w:t>
      </w:r>
      <w:r>
        <w:rPr>
          <w:rFonts w:ascii="Times New Roman" w:hAnsi="Times New Roman"/>
          <w:color w:val="000000"/>
          <w:sz w:val="24"/>
          <w:u w:val="single"/>
        </w:rPr>
        <w:t>Section 2.01(b)</w:t>
      </w:r>
      <w:r>
        <w:rPr>
          <w:rFonts w:ascii="Times New Roman" w:hAnsi="Times New Roman"/>
          <w:color w:val="000000"/>
          <w:sz w:val="24"/>
        </w:rPr>
        <w:t xml:space="preserve"> and </w:t>
      </w:r>
      <w:r>
        <w:rPr>
          <w:rFonts w:ascii="Times New Roman" w:hAnsi="Times New Roman"/>
          <w:color w:val="000000"/>
          <w:sz w:val="24"/>
          <w:u w:val="single"/>
        </w:rPr>
        <w:t>Section 2.01(c)</w:t>
      </w:r>
      <w:r>
        <w:rPr>
          <w:rFonts w:ascii="Times New Roman" w:hAnsi="Times New Roman"/>
          <w:color w:val="000000"/>
          <w:sz w:val="24"/>
        </w:rPr>
        <w:t xml:space="preserve"> upon such release (each such release of Collections described in </w:t>
      </w:r>
      <w:r>
        <w:rPr>
          <w:rFonts w:ascii="Times New Roman" w:hAnsi="Times New Roman"/>
          <w:color w:val="000000"/>
          <w:sz w:val="24"/>
          <w:u w:val="single"/>
        </w:rPr>
        <w:t>clauses (A)</w:t>
      </w:r>
      <w:r>
        <w:rPr>
          <w:rFonts w:ascii="Times New Roman" w:hAnsi="Times New Roman"/>
          <w:color w:val="000000"/>
          <w:sz w:val="24"/>
        </w:rPr>
        <w:t xml:space="preserve"> and </w:t>
      </w:r>
      <w:r>
        <w:rPr>
          <w:rFonts w:ascii="Times New Roman" w:hAnsi="Times New Roman"/>
          <w:color w:val="000000"/>
          <w:sz w:val="24"/>
          <w:u w:val="single"/>
        </w:rPr>
        <w:t>(B)</w:t>
      </w:r>
      <w:r>
        <w:rPr>
          <w:rFonts w:ascii="Times New Roman" w:hAnsi="Times New Roman"/>
          <w:color w:val="000000"/>
          <w:sz w:val="24"/>
        </w:rPr>
        <w:t xml:space="preserve"> above, a “</w:t>
      </w:r>
      <w:r>
        <w:rPr>
          <w:rFonts w:ascii="Times New Roman" w:hAnsi="Times New Roman"/>
          <w:color w:val="000000"/>
          <w:sz w:val="24"/>
          <w:u w:val="single"/>
        </w:rPr>
        <w:t>Release</w:t>
      </w:r>
      <w:r>
        <w:rPr>
          <w:rFonts w:ascii="Times New Roman" w:hAnsi="Times New Roman"/>
          <w:color w:val="000000"/>
          <w:sz w:val="24"/>
        </w:rPr>
        <w:t>”). On each Settlement Date, the Servicer (or, following its assumption of control of the Seller Collection Accounts and/or the Collection Accounts, the Administrative Agent) shall, distribute such Collections in the following order of priority: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 </w:t>
      </w:r>
      <w:r>
        <w:rPr>
          <w:rFonts w:ascii="Times New Roman" w:hAnsi="Times New Roman"/>
          <w:color w:val="000000"/>
          <w:sz w:val="24"/>
          <w:u w:val="single"/>
        </w:rPr>
        <w:t>first</w:t>
      </w:r>
      <w:r>
        <w:rPr>
          <w:rFonts w:ascii="Times New Roman" w:hAnsi="Times New Roman"/>
          <w:color w:val="000000"/>
          <w:sz w:val="24"/>
        </w:rPr>
        <w:t>, to the Servicer for the payment of the accrued Servicing Fees payable for the immediately preceding Fiscal Month (plus, if applicable, the amount of Servicing Fees payable for any prior Fiscal Month to the extent such amount has not been distributed to the Servicer);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(ii) </w:t>
      </w:r>
      <w:r>
        <w:rPr>
          <w:rFonts w:ascii="Times New Roman" w:hAnsi="Times New Roman"/>
          <w:color w:val="000000"/>
          <w:sz w:val="24"/>
          <w:u w:val="single"/>
        </w:rPr>
        <w:t>second</w:t>
      </w:r>
      <w:r>
        <w:rPr>
          <w:rFonts w:ascii="Times New Roman" w:hAnsi="Times New Roman"/>
          <w:color w:val="000000"/>
          <w:sz w:val="24"/>
        </w:rPr>
        <w:t xml:space="preserve">, to each Purchaser and other Purchaser Party (ratably, based on the amount then due and owing to such Person), all accrued and unpaid Yield, Fees and indemnity payments due under Section 4.02 due to such Purchaser and other Purchaser Party for the immediately preceding Yield Period (including any additional amounts or indemnified amounts payable under </w:t>
      </w:r>
      <w:r>
        <w:rPr>
          <w:rFonts w:ascii="Times New Roman" w:hAnsi="Times New Roman"/>
          <w:color w:val="000000"/>
          <w:sz w:val="24"/>
          <w:u w:val="single"/>
        </w:rPr>
        <w:t>Section 4.03</w:t>
      </w:r>
      <w:r>
        <w:rPr>
          <w:rFonts w:ascii="Times New Roman" w:hAnsi="Times New Roman"/>
          <w:color w:val="000000"/>
          <w:sz w:val="24"/>
        </w:rPr>
        <w:t xml:space="preserve"> and any other Transaction Document in respect of such payments), plus, if applicable, the amount of any such Yield, Fees and indemnity payments due under Section 4.02 (including any additional amounts or indemnified amounts payable under </w:t>
      </w:r>
      <w:r>
        <w:rPr>
          <w:rFonts w:ascii="Times New Roman" w:hAnsi="Times New Roman"/>
          <w:color w:val="000000"/>
          <w:sz w:val="24"/>
          <w:u w:val="single"/>
        </w:rPr>
        <w:t>Section 4.03</w:t>
      </w:r>
      <w:r>
        <w:rPr>
          <w:rFonts w:ascii="Times New Roman" w:hAnsi="Times New Roman"/>
          <w:color w:val="000000"/>
          <w:sz w:val="24"/>
        </w:rPr>
        <w:t xml:space="preserve"> and any other Transaction Document in respect of such payments) payable for any prior Yield Period to the extent such amount has not been distributed to such Purchaser or Purchaser Party;</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(iii) </w:t>
      </w:r>
      <w:r>
        <w:rPr>
          <w:rFonts w:ascii="Times New Roman" w:hAnsi="Times New Roman"/>
          <w:color w:val="000000"/>
          <w:sz w:val="24"/>
          <w:u w:val="single"/>
        </w:rPr>
        <w:t>third</w:t>
      </w:r>
      <w:r>
        <w:rPr>
          <w:rFonts w:ascii="Times New Roman" w:hAnsi="Times New Roman"/>
          <w:color w:val="000000"/>
          <w:sz w:val="24"/>
        </w:rPr>
        <w:t xml:space="preserve">, as set forth in </w:t>
      </w:r>
      <w:r>
        <w:rPr>
          <w:rFonts w:ascii="Times New Roman" w:hAnsi="Times New Roman"/>
          <w:color w:val="000000"/>
          <w:sz w:val="24"/>
          <w:u w:val="single"/>
        </w:rPr>
        <w:t>clause (A)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4"/>
        </w:rPr>
        <w:t xml:space="preserve"> or </w:t>
      </w:r>
      <w:r>
        <w:rPr>
          <w:rFonts w:ascii="Times New Roman" w:hAnsi="Times New Roman"/>
          <w:color w:val="000000"/>
          <w:sz w:val="24"/>
          <w:u w:val="single"/>
        </w:rPr>
        <w:t>(C)</w:t>
      </w:r>
      <w:r>
        <w:rPr>
          <w:rFonts w:ascii="Times New Roman" w:hAnsi="Times New Roman"/>
          <w:color w:val="000000"/>
          <w:sz w:val="24"/>
        </w:rPr>
        <w:t xml:space="preserve"> below, as applicable: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prior to the occurrence of the Termination Date, to the extent that a Capital Coverage Deficit exists on such date, to the Purchasers (ratably, based on the aggregate outstanding Capital of each Purchaser at such time) for the return of a portion of the outstanding Aggregate Capital at such time, in an aggregate amount equal to the amount necessary to reduce the Capital Coverage Deficit to zero (0);</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on and after the occurrence of the Termination Date to each Purchaser (ratably, based on the aggregate outstanding Capital of each Purchaser at such time) for the return in full of the aggregate outstanding Capital of such Purchaser at such time;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prior to the occurrence of the Termination Date, at the election of the Seller and in accordance with Section 2.02(d), to each Purchaser as a return of all or any portion of the outstanding Capital of the Purchasers at such time (ratably, based on the aggregate outstanding Capital of each Purchaser at such time);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(iv) </w:t>
      </w:r>
      <w:r>
        <w:rPr>
          <w:rFonts w:ascii="Times New Roman" w:hAnsi="Times New Roman"/>
          <w:color w:val="000000"/>
          <w:sz w:val="24"/>
          <w:u w:val="single"/>
        </w:rPr>
        <w:t>fourth</w:t>
      </w:r>
      <w:r>
        <w:rPr>
          <w:rFonts w:ascii="Times New Roman" w:hAnsi="Times New Roman"/>
          <w:color w:val="000000"/>
          <w:sz w:val="24"/>
        </w:rPr>
        <w:t>, to the Purchaser Parties, the Affected Persons and the Seller Indemnified Parties (ratably, based on the amount due and owing at such time), for the payment of all other Seller Obligations then due and owing by the Seller to the Purchaser Parties, the Affected Persons and the Seller Indemnified Parties;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(v) </w:t>
      </w:r>
      <w:r>
        <w:rPr>
          <w:rFonts w:ascii="Times New Roman" w:hAnsi="Times New Roman"/>
          <w:color w:val="000000"/>
          <w:sz w:val="24"/>
          <w:u w:val="single"/>
        </w:rPr>
        <w:t>fifth</w:t>
      </w:r>
      <w:r>
        <w:rPr>
          <w:rFonts w:ascii="Times New Roman" w:hAnsi="Times New Roman"/>
          <w:color w:val="000000"/>
          <w:sz w:val="24"/>
        </w:rPr>
        <w:t>, to the Subordinated Lender all accrued and unpaid amounts due to the Subordinated Lender pursuant to the Subordinated Loan Agreement; and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(vi) </w:t>
      </w:r>
      <w:r>
        <w:rPr>
          <w:rFonts w:ascii="Times New Roman" w:hAnsi="Times New Roman"/>
          <w:color w:val="000000"/>
          <w:sz w:val="24"/>
          <w:u w:val="single"/>
        </w:rPr>
        <w:t>sixth</w:t>
      </w:r>
      <w:r>
        <w:rPr>
          <w:rFonts w:ascii="Times New Roman" w:hAnsi="Times New Roman"/>
          <w:color w:val="000000"/>
          <w:sz w:val="24"/>
        </w:rPr>
        <w:t>, the balance, if any, to be paid to the Seller for its own account.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Amounts payable pursuant to clauses </w:t>
      </w:r>
      <w:r>
        <w:rPr>
          <w:rFonts w:ascii="Times New Roman" w:hAnsi="Times New Roman"/>
          <w:color w:val="000000"/>
          <w:sz w:val="24"/>
          <w:u w:val="single"/>
        </w:rPr>
        <w:t>first</w:t>
      </w:r>
      <w:r>
        <w:rPr>
          <w:rFonts w:ascii="Times New Roman" w:hAnsi="Times New Roman"/>
          <w:color w:val="000000"/>
          <w:sz w:val="24"/>
        </w:rPr>
        <w:t xml:space="preserve"> through </w:t>
      </w:r>
      <w:r>
        <w:rPr>
          <w:rFonts w:ascii="Times New Roman" w:hAnsi="Times New Roman"/>
          <w:color w:val="000000"/>
          <w:sz w:val="24"/>
          <w:u w:val="single"/>
        </w:rPr>
        <w:t>fourth</w:t>
      </w:r>
      <w:r>
        <w:rPr>
          <w:rFonts w:ascii="Times New Roman" w:hAnsi="Times New Roman"/>
          <w:color w:val="000000"/>
          <w:sz w:val="24"/>
        </w:rPr>
        <w:t xml:space="preserve"> above shall be paid (at each level of priority) first from available Collections on Sold Receivables and other Sold Assets, and second, to the extent necessary in order to make all such payments in full, from Collections on Unsold Receivables and other Seller Collateral. The Seller’s right to receive payments (if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any) from time to time pursuant to clause </w:t>
      </w:r>
      <w:r>
        <w:rPr>
          <w:rFonts w:ascii="Times New Roman" w:hAnsi="Times New Roman"/>
          <w:color w:val="000000"/>
          <w:sz w:val="24"/>
          <w:u w:val="single"/>
        </w:rPr>
        <w:t>sixth</w:t>
      </w:r>
      <w:r>
        <w:rPr>
          <w:rFonts w:ascii="Times New Roman" w:hAnsi="Times New Roman"/>
          <w:color w:val="000000"/>
          <w:sz w:val="24"/>
        </w:rPr>
        <w:t xml:space="preserve"> above shall, to the extent arising from Collections on Sold Receivables, constitute compensation to the Seller for the Seller’s provision of the Seller Guarantee and the Purchaser Parties’ interests in the Seller Collateral.</w:t>
      </w:r>
    </w:p>
    <w:p>
      <w:pPr>
        <w:pStyle w:val="TextBody"/>
        <w:bidi w:val="0"/>
        <w:spacing w:before="240" w:after="283"/>
        <w:jc w:val="both"/>
        <w:rPr>
          <w:rFonts w:ascii="Times New Roman" w:hAnsi="Times New Roman"/>
          <w:sz w:val="22"/>
        </w:rPr>
      </w:pPr>
      <w:r>
        <w:rPr>
          <w:rFonts w:ascii="Times New Roman" w:hAnsi="Times New Roman"/>
          <w:color w:val="000000"/>
          <w:sz w:val="24"/>
        </w:rPr>
        <w:t>(b) All</w:t>
      </w:r>
      <w:r>
        <w:rPr>
          <w:rFonts w:ascii="Times New Roman" w:hAnsi="Times New Roman"/>
          <w:color w:val="000000"/>
          <w:sz w:val="22"/>
        </w:rPr>
        <w:t xml:space="preserve"> </w:t>
      </w:r>
      <w:r>
        <w:rPr>
          <w:rFonts w:ascii="Times New Roman" w:hAnsi="Times New Roman"/>
          <w:color w:val="000000"/>
          <w:sz w:val="24"/>
        </w:rPr>
        <w:t>payments</w:t>
      </w:r>
      <w:r>
        <w:rPr>
          <w:rFonts w:ascii="Times New Roman" w:hAnsi="Times New Roman"/>
          <w:color w:val="000000"/>
          <w:sz w:val="22"/>
        </w:rPr>
        <w:t xml:space="preserve"> </w:t>
      </w:r>
      <w:r>
        <w:rPr>
          <w:rFonts w:ascii="Times New Roman" w:hAnsi="Times New Roman"/>
          <w:color w:val="000000"/>
          <w:sz w:val="24"/>
        </w:rPr>
        <w:t>or</w:t>
      </w:r>
      <w:r>
        <w:rPr>
          <w:rFonts w:ascii="Times New Roman" w:hAnsi="Times New Roman"/>
          <w:color w:val="000000"/>
          <w:sz w:val="22"/>
        </w:rPr>
        <w:t xml:space="preserve"> </w:t>
      </w:r>
      <w:r>
        <w:rPr>
          <w:rFonts w:ascii="Times New Roman" w:hAnsi="Times New Roman"/>
          <w:color w:val="000000"/>
          <w:sz w:val="24"/>
        </w:rPr>
        <w:t>distributions</w:t>
      </w:r>
      <w:r>
        <w:rPr>
          <w:rFonts w:ascii="Times New Roman" w:hAnsi="Times New Roman"/>
          <w:color w:val="000000"/>
          <w:sz w:val="22"/>
        </w:rPr>
        <w:t xml:space="preserve"> </w:t>
      </w:r>
      <w:r>
        <w:rPr>
          <w:rFonts w:ascii="Times New Roman" w:hAnsi="Times New Roman"/>
          <w:color w:val="000000"/>
          <w:sz w:val="24"/>
        </w:rPr>
        <w:t>to</w:t>
      </w:r>
      <w:r>
        <w:rPr>
          <w:rFonts w:ascii="Times New Roman" w:hAnsi="Times New Roman"/>
          <w:color w:val="000000"/>
          <w:sz w:val="22"/>
        </w:rPr>
        <w:t xml:space="preserve"> </w:t>
      </w:r>
      <w:r>
        <w:rPr>
          <w:rFonts w:ascii="Times New Roman" w:hAnsi="Times New Roman"/>
          <w:color w:val="000000"/>
          <w:sz w:val="24"/>
        </w:rPr>
        <w:t>be</w:t>
      </w:r>
      <w:r>
        <w:rPr>
          <w:rFonts w:ascii="Times New Roman" w:hAnsi="Times New Roman"/>
          <w:color w:val="000000"/>
          <w:sz w:val="22"/>
        </w:rPr>
        <w:t xml:space="preserve"> </w:t>
      </w:r>
      <w:r>
        <w:rPr>
          <w:rFonts w:ascii="Times New Roman" w:hAnsi="Times New Roman"/>
          <w:color w:val="000000"/>
          <w:sz w:val="24"/>
        </w:rPr>
        <w:t>made</w:t>
      </w:r>
      <w:r>
        <w:rPr>
          <w:rFonts w:ascii="Times New Roman" w:hAnsi="Times New Roman"/>
          <w:color w:val="000000"/>
          <w:sz w:val="22"/>
        </w:rPr>
        <w:t xml:space="preserve"> </w:t>
      </w:r>
      <w:r>
        <w:rPr>
          <w:rFonts w:ascii="Times New Roman" w:hAnsi="Times New Roman"/>
          <w:color w:val="000000"/>
          <w:sz w:val="24"/>
        </w:rPr>
        <w:t>by</w:t>
      </w:r>
      <w:r>
        <w:rPr>
          <w:rFonts w:ascii="Times New Roman" w:hAnsi="Times New Roman"/>
          <w:color w:val="000000"/>
          <w:sz w:val="22"/>
        </w:rPr>
        <w:t xml:space="preserve"> </w:t>
      </w:r>
      <w:r>
        <w:rPr>
          <w:rFonts w:ascii="Times New Roman" w:hAnsi="Times New Roman"/>
          <w:color w:val="000000"/>
          <w:sz w:val="24"/>
        </w:rPr>
        <w:t>the</w:t>
      </w:r>
      <w:r>
        <w:rPr>
          <w:rFonts w:ascii="Times New Roman" w:hAnsi="Times New Roman"/>
          <w:color w:val="000000"/>
          <w:sz w:val="22"/>
        </w:rPr>
        <w:t xml:space="preserve"> </w:t>
      </w:r>
      <w:r>
        <w:rPr>
          <w:rFonts w:ascii="Times New Roman" w:hAnsi="Times New Roman"/>
          <w:color w:val="000000"/>
          <w:sz w:val="24"/>
        </w:rPr>
        <w:t>Servicer,</w:t>
      </w:r>
      <w:r>
        <w:rPr>
          <w:rFonts w:ascii="Times New Roman" w:hAnsi="Times New Roman"/>
          <w:color w:val="000000"/>
          <w:sz w:val="22"/>
        </w:rPr>
        <w:t xml:space="preserve"> </w:t>
      </w:r>
      <w:r>
        <w:rPr>
          <w:rFonts w:ascii="Times New Roman" w:hAnsi="Times New Roman"/>
          <w:color w:val="000000"/>
          <w:sz w:val="24"/>
        </w:rPr>
        <w:t>the</w:t>
      </w:r>
      <w:r>
        <w:rPr>
          <w:rFonts w:ascii="Times New Roman" w:hAnsi="Times New Roman"/>
          <w:color w:val="000000"/>
          <w:sz w:val="22"/>
        </w:rPr>
        <w:t xml:space="preserve"> </w:t>
      </w:r>
      <w:r>
        <w:rPr>
          <w:rFonts w:ascii="Times New Roman" w:hAnsi="Times New Roman"/>
          <w:color w:val="000000"/>
          <w:sz w:val="24"/>
        </w:rPr>
        <w:t>Seller</w:t>
      </w:r>
      <w:r>
        <w:rPr>
          <w:rFonts w:ascii="Times New Roman" w:hAnsi="Times New Roman"/>
          <w:color w:val="000000"/>
          <w:sz w:val="22"/>
        </w:rPr>
        <w:t xml:space="preserve"> </w:t>
      </w:r>
      <w:r>
        <w:rPr>
          <w:rFonts w:ascii="Times New Roman" w:hAnsi="Times New Roman"/>
          <w:color w:val="000000"/>
          <w:sz w:val="24"/>
        </w:rPr>
        <w:t>and any other Person to the Purchasers (or their respective related Affected Persons and the Seller Indemnified Parties) hereunder shall be paid or distributed to the related Group Agent at its Group</w:t>
      </w:r>
      <w:r>
        <w:rPr>
          <w:rFonts w:ascii="Times New Roman" w:hAnsi="Times New Roman"/>
          <w:color w:val="000000"/>
          <w:sz w:val="22"/>
        </w:rPr>
        <w:t xml:space="preserve"> </w:t>
      </w:r>
      <w:r>
        <w:rPr>
          <w:rFonts w:ascii="Times New Roman" w:hAnsi="Times New Roman"/>
          <w:color w:val="000000"/>
          <w:sz w:val="24"/>
        </w:rPr>
        <w:t>Agent’s</w:t>
      </w:r>
      <w:r>
        <w:rPr>
          <w:rFonts w:ascii="Times New Roman" w:hAnsi="Times New Roman"/>
          <w:color w:val="000000"/>
          <w:sz w:val="22"/>
        </w:rPr>
        <w:t xml:space="preserve"> </w:t>
      </w:r>
      <w:r>
        <w:rPr>
          <w:rFonts w:ascii="Times New Roman" w:hAnsi="Times New Roman"/>
          <w:color w:val="000000"/>
          <w:sz w:val="24"/>
        </w:rPr>
        <w:t>Account.</w:t>
      </w:r>
      <w:r>
        <w:rPr>
          <w:rFonts w:ascii="Times New Roman" w:hAnsi="Times New Roman"/>
          <w:color w:val="000000"/>
          <w:sz w:val="22"/>
        </w:rPr>
        <w:t xml:space="preserve"> </w:t>
      </w:r>
      <w:r>
        <w:rPr>
          <w:rFonts w:ascii="Times New Roman" w:hAnsi="Times New Roman"/>
          <w:color w:val="000000"/>
          <w:sz w:val="24"/>
        </w:rPr>
        <w:t>Each</w:t>
      </w:r>
      <w:r>
        <w:rPr>
          <w:rFonts w:ascii="Times New Roman" w:hAnsi="Times New Roman"/>
          <w:color w:val="000000"/>
          <w:sz w:val="22"/>
        </w:rPr>
        <w:t xml:space="preserve"> </w:t>
      </w:r>
      <w:r>
        <w:rPr>
          <w:rFonts w:ascii="Times New Roman" w:hAnsi="Times New Roman"/>
          <w:color w:val="000000"/>
          <w:sz w:val="24"/>
        </w:rPr>
        <w:t>Group</w:t>
      </w:r>
      <w:r>
        <w:rPr>
          <w:rFonts w:ascii="Times New Roman" w:hAnsi="Times New Roman"/>
          <w:color w:val="000000"/>
          <w:sz w:val="22"/>
        </w:rPr>
        <w:t xml:space="preserve"> </w:t>
      </w:r>
      <w:r>
        <w:rPr>
          <w:rFonts w:ascii="Times New Roman" w:hAnsi="Times New Roman"/>
          <w:color w:val="000000"/>
          <w:sz w:val="24"/>
        </w:rPr>
        <w:t>Agent,</w:t>
      </w:r>
      <w:r>
        <w:rPr>
          <w:rFonts w:ascii="Times New Roman" w:hAnsi="Times New Roman"/>
          <w:color w:val="000000"/>
          <w:sz w:val="22"/>
        </w:rPr>
        <w:t xml:space="preserve"> </w:t>
      </w:r>
      <w:r>
        <w:rPr>
          <w:rFonts w:ascii="Times New Roman" w:hAnsi="Times New Roman"/>
          <w:color w:val="000000"/>
          <w:sz w:val="24"/>
        </w:rPr>
        <w:t>upon</w:t>
      </w:r>
      <w:r>
        <w:rPr>
          <w:rFonts w:ascii="Times New Roman" w:hAnsi="Times New Roman"/>
          <w:color w:val="000000"/>
          <w:sz w:val="22"/>
        </w:rPr>
        <w:t xml:space="preserve"> </w:t>
      </w:r>
      <w:r>
        <w:rPr>
          <w:rFonts w:ascii="Times New Roman" w:hAnsi="Times New Roman"/>
          <w:color w:val="000000"/>
          <w:sz w:val="24"/>
        </w:rPr>
        <w:t>its</w:t>
      </w:r>
      <w:r>
        <w:rPr>
          <w:rFonts w:ascii="Times New Roman" w:hAnsi="Times New Roman"/>
          <w:color w:val="000000"/>
          <w:sz w:val="22"/>
        </w:rPr>
        <w:t xml:space="preserve"> </w:t>
      </w:r>
      <w:r>
        <w:rPr>
          <w:rFonts w:ascii="Times New Roman" w:hAnsi="Times New Roman"/>
          <w:color w:val="000000"/>
          <w:sz w:val="24"/>
        </w:rPr>
        <w:t>receipt</w:t>
      </w:r>
      <w:r>
        <w:rPr>
          <w:rFonts w:ascii="Times New Roman" w:hAnsi="Times New Roman"/>
          <w:color w:val="000000"/>
          <w:sz w:val="22"/>
        </w:rPr>
        <w:t xml:space="preserve"> </w:t>
      </w:r>
      <w:r>
        <w:rPr>
          <w:rFonts w:ascii="Times New Roman" w:hAnsi="Times New Roman"/>
          <w:color w:val="000000"/>
          <w:sz w:val="24"/>
        </w:rPr>
        <w:t>in</w:t>
      </w:r>
      <w:r>
        <w:rPr>
          <w:rFonts w:ascii="Times New Roman" w:hAnsi="Times New Roman"/>
          <w:color w:val="000000"/>
          <w:sz w:val="22"/>
        </w:rPr>
        <w:t xml:space="preserve"> </w:t>
      </w:r>
      <w:r>
        <w:rPr>
          <w:rFonts w:ascii="Times New Roman" w:hAnsi="Times New Roman"/>
          <w:color w:val="000000"/>
          <w:sz w:val="24"/>
        </w:rPr>
        <w:t>the</w:t>
      </w:r>
      <w:r>
        <w:rPr>
          <w:rFonts w:ascii="Times New Roman" w:hAnsi="Times New Roman"/>
          <w:color w:val="000000"/>
          <w:sz w:val="22"/>
        </w:rPr>
        <w:t xml:space="preserve"> </w:t>
      </w:r>
      <w:r>
        <w:rPr>
          <w:rFonts w:ascii="Times New Roman" w:hAnsi="Times New Roman"/>
          <w:color w:val="000000"/>
          <w:sz w:val="24"/>
        </w:rPr>
        <w:t>applicable</w:t>
      </w:r>
      <w:r>
        <w:rPr>
          <w:rFonts w:ascii="Times New Roman" w:hAnsi="Times New Roman"/>
          <w:color w:val="000000"/>
          <w:sz w:val="22"/>
        </w:rPr>
        <w:t xml:space="preserve"> </w:t>
      </w:r>
      <w:r>
        <w:rPr>
          <w:rFonts w:ascii="Times New Roman" w:hAnsi="Times New Roman"/>
          <w:color w:val="000000"/>
          <w:sz w:val="24"/>
        </w:rPr>
        <w:t>Group</w:t>
      </w:r>
      <w:r>
        <w:rPr>
          <w:rFonts w:ascii="Times New Roman" w:hAnsi="Times New Roman"/>
          <w:color w:val="000000"/>
          <w:sz w:val="22"/>
        </w:rPr>
        <w:t xml:space="preserve"> </w:t>
      </w:r>
      <w:r>
        <w:rPr>
          <w:rFonts w:ascii="Times New Roman" w:hAnsi="Times New Roman"/>
          <w:color w:val="000000"/>
          <w:sz w:val="24"/>
        </w:rPr>
        <w:t>Agent’s Account</w:t>
      </w:r>
      <w:r>
        <w:rPr>
          <w:rFonts w:ascii="Times New Roman" w:hAnsi="Times New Roman"/>
          <w:color w:val="000000"/>
          <w:sz w:val="22"/>
        </w:rPr>
        <w:t xml:space="preserve"> </w:t>
      </w:r>
      <w:r>
        <w:rPr>
          <w:rFonts w:ascii="Times New Roman" w:hAnsi="Times New Roman"/>
          <w:color w:val="000000"/>
          <w:sz w:val="24"/>
        </w:rPr>
        <w:t>of</w:t>
      </w:r>
      <w:r>
        <w:rPr>
          <w:rFonts w:ascii="Times New Roman" w:hAnsi="Times New Roman"/>
          <w:color w:val="000000"/>
          <w:sz w:val="22"/>
        </w:rPr>
        <w:t xml:space="preserve"> </w:t>
      </w:r>
      <w:r>
        <w:rPr>
          <w:rFonts w:ascii="Times New Roman" w:hAnsi="Times New Roman"/>
          <w:color w:val="000000"/>
          <w:sz w:val="24"/>
        </w:rPr>
        <w:t>any</w:t>
      </w:r>
      <w:r>
        <w:rPr>
          <w:rFonts w:ascii="Times New Roman" w:hAnsi="Times New Roman"/>
          <w:color w:val="000000"/>
          <w:sz w:val="22"/>
        </w:rPr>
        <w:t xml:space="preserve"> </w:t>
      </w:r>
      <w:r>
        <w:rPr>
          <w:rFonts w:ascii="Times New Roman" w:hAnsi="Times New Roman"/>
          <w:color w:val="000000"/>
          <w:sz w:val="24"/>
        </w:rPr>
        <w:t>such</w:t>
      </w:r>
      <w:r>
        <w:rPr>
          <w:rFonts w:ascii="Times New Roman" w:hAnsi="Times New Roman"/>
          <w:color w:val="000000"/>
          <w:sz w:val="22"/>
        </w:rPr>
        <w:t xml:space="preserve"> </w:t>
      </w:r>
      <w:r>
        <w:rPr>
          <w:rFonts w:ascii="Times New Roman" w:hAnsi="Times New Roman"/>
          <w:color w:val="000000"/>
          <w:sz w:val="24"/>
        </w:rPr>
        <w:t>payments</w:t>
      </w:r>
      <w:r>
        <w:rPr>
          <w:rFonts w:ascii="Times New Roman" w:hAnsi="Times New Roman"/>
          <w:color w:val="000000"/>
          <w:sz w:val="22"/>
        </w:rPr>
        <w:t xml:space="preserve"> </w:t>
      </w:r>
      <w:r>
        <w:rPr>
          <w:rFonts w:ascii="Times New Roman" w:hAnsi="Times New Roman"/>
          <w:color w:val="000000"/>
          <w:sz w:val="24"/>
        </w:rPr>
        <w:t>or</w:t>
      </w:r>
      <w:r>
        <w:rPr>
          <w:rFonts w:ascii="Times New Roman" w:hAnsi="Times New Roman"/>
          <w:color w:val="000000"/>
          <w:sz w:val="22"/>
        </w:rPr>
        <w:t xml:space="preserve"> </w:t>
      </w:r>
      <w:r>
        <w:rPr>
          <w:rFonts w:ascii="Times New Roman" w:hAnsi="Times New Roman"/>
          <w:color w:val="000000"/>
          <w:sz w:val="24"/>
        </w:rPr>
        <w:t>distributions,</w:t>
      </w:r>
      <w:r>
        <w:rPr>
          <w:rFonts w:ascii="Times New Roman" w:hAnsi="Times New Roman"/>
          <w:color w:val="000000"/>
          <w:sz w:val="22"/>
        </w:rPr>
        <w:t xml:space="preserve"> </w:t>
      </w:r>
      <w:r>
        <w:rPr>
          <w:rFonts w:ascii="Times New Roman" w:hAnsi="Times New Roman"/>
          <w:color w:val="000000"/>
          <w:sz w:val="24"/>
        </w:rPr>
        <w:t>shall</w:t>
      </w:r>
      <w:r>
        <w:rPr>
          <w:rFonts w:ascii="Times New Roman" w:hAnsi="Times New Roman"/>
          <w:color w:val="000000"/>
          <w:sz w:val="22"/>
        </w:rPr>
        <w:t xml:space="preserve"> </w:t>
      </w:r>
      <w:r>
        <w:rPr>
          <w:rFonts w:ascii="Times New Roman" w:hAnsi="Times New Roman"/>
          <w:color w:val="000000"/>
          <w:sz w:val="24"/>
        </w:rPr>
        <w:t>distribute</w:t>
      </w:r>
      <w:r>
        <w:rPr>
          <w:rFonts w:ascii="Times New Roman" w:hAnsi="Times New Roman"/>
          <w:color w:val="000000"/>
          <w:sz w:val="22"/>
        </w:rPr>
        <w:t xml:space="preserve"> </w:t>
      </w:r>
      <w:r>
        <w:rPr>
          <w:rFonts w:ascii="Times New Roman" w:hAnsi="Times New Roman"/>
          <w:color w:val="000000"/>
          <w:sz w:val="24"/>
        </w:rPr>
        <w:t>such</w:t>
      </w:r>
      <w:r>
        <w:rPr>
          <w:rFonts w:ascii="Times New Roman" w:hAnsi="Times New Roman"/>
          <w:color w:val="000000"/>
          <w:sz w:val="22"/>
        </w:rPr>
        <w:t xml:space="preserve"> </w:t>
      </w:r>
      <w:r>
        <w:rPr>
          <w:rFonts w:ascii="Times New Roman" w:hAnsi="Times New Roman"/>
          <w:color w:val="000000"/>
          <w:sz w:val="24"/>
        </w:rPr>
        <w:t>amounts</w:t>
      </w:r>
      <w:r>
        <w:rPr>
          <w:rFonts w:ascii="Times New Roman" w:hAnsi="Times New Roman"/>
          <w:color w:val="000000"/>
          <w:sz w:val="22"/>
        </w:rPr>
        <w:t xml:space="preserve"> </w:t>
      </w:r>
      <w:r>
        <w:rPr>
          <w:rFonts w:ascii="Times New Roman" w:hAnsi="Times New Roman"/>
          <w:color w:val="000000"/>
          <w:sz w:val="24"/>
        </w:rPr>
        <w:t>to</w:t>
      </w:r>
      <w:r>
        <w:rPr>
          <w:rFonts w:ascii="Times New Roman" w:hAnsi="Times New Roman"/>
          <w:color w:val="000000"/>
          <w:sz w:val="22"/>
        </w:rPr>
        <w:t xml:space="preserve"> </w:t>
      </w:r>
      <w:r>
        <w:rPr>
          <w:rFonts w:ascii="Times New Roman" w:hAnsi="Times New Roman"/>
          <w:color w:val="000000"/>
          <w:sz w:val="24"/>
        </w:rPr>
        <w:t>the</w:t>
      </w:r>
      <w:r>
        <w:rPr>
          <w:rFonts w:ascii="Times New Roman" w:hAnsi="Times New Roman"/>
          <w:color w:val="000000"/>
          <w:sz w:val="22"/>
        </w:rPr>
        <w:t xml:space="preserve"> </w:t>
      </w:r>
      <w:r>
        <w:rPr>
          <w:rFonts w:ascii="Times New Roman" w:hAnsi="Times New Roman"/>
          <w:color w:val="000000"/>
          <w:sz w:val="24"/>
        </w:rPr>
        <w:t xml:space="preserve">applicable Purchasers, Affected Persons and the Seller Indemnified Parties within its Group ratably; </w:t>
      </w:r>
      <w:r>
        <w:rPr>
          <w:rFonts w:ascii="Times New Roman" w:hAnsi="Times New Roman"/>
          <w:color w:val="000000"/>
          <w:sz w:val="24"/>
          <w:u w:val="single"/>
        </w:rPr>
        <w:t>provided</w:t>
      </w:r>
      <w:r>
        <w:rPr>
          <w:rFonts w:ascii="Times New Roman" w:hAnsi="Times New Roman"/>
          <w:color w:val="000000"/>
          <w:sz w:val="22"/>
        </w:rPr>
        <w:t xml:space="preserve"> </w:t>
      </w:r>
      <w:r>
        <w:rPr>
          <w:rFonts w:ascii="Times New Roman" w:hAnsi="Times New Roman"/>
          <w:color w:val="000000"/>
          <w:sz w:val="24"/>
        </w:rPr>
        <w:t>that</w:t>
      </w:r>
      <w:r>
        <w:rPr>
          <w:rFonts w:ascii="Times New Roman" w:hAnsi="Times New Roman"/>
          <w:color w:val="000000"/>
          <w:sz w:val="22"/>
        </w:rPr>
        <w:t xml:space="preserve"> </w:t>
      </w:r>
      <w:r>
        <w:rPr>
          <w:rFonts w:ascii="Times New Roman" w:hAnsi="Times New Roman"/>
          <w:color w:val="000000"/>
          <w:sz w:val="24"/>
        </w:rPr>
        <w:t>if</w:t>
      </w:r>
      <w:r>
        <w:rPr>
          <w:rFonts w:ascii="Times New Roman" w:hAnsi="Times New Roman"/>
          <w:color w:val="000000"/>
          <w:sz w:val="22"/>
        </w:rPr>
        <w:t xml:space="preserve"> </w:t>
      </w:r>
      <w:r>
        <w:rPr>
          <w:rFonts w:ascii="Times New Roman" w:hAnsi="Times New Roman"/>
          <w:color w:val="000000"/>
          <w:sz w:val="24"/>
        </w:rPr>
        <w:t>such</w:t>
      </w:r>
      <w:r>
        <w:rPr>
          <w:rFonts w:ascii="Times New Roman" w:hAnsi="Times New Roman"/>
          <w:color w:val="000000"/>
          <w:sz w:val="22"/>
        </w:rPr>
        <w:t xml:space="preserve"> </w:t>
      </w:r>
      <w:r>
        <w:rPr>
          <w:rFonts w:ascii="Times New Roman" w:hAnsi="Times New Roman"/>
          <w:color w:val="000000"/>
          <w:sz w:val="24"/>
        </w:rPr>
        <w:t>Group</w:t>
      </w:r>
      <w:r>
        <w:rPr>
          <w:rFonts w:ascii="Times New Roman" w:hAnsi="Times New Roman"/>
          <w:color w:val="000000"/>
          <w:sz w:val="22"/>
        </w:rPr>
        <w:t xml:space="preserve"> </w:t>
      </w:r>
      <w:r>
        <w:rPr>
          <w:rFonts w:ascii="Times New Roman" w:hAnsi="Times New Roman"/>
          <w:color w:val="000000"/>
          <w:sz w:val="24"/>
        </w:rPr>
        <w:t>Agent</w:t>
      </w:r>
      <w:r>
        <w:rPr>
          <w:rFonts w:ascii="Times New Roman" w:hAnsi="Times New Roman"/>
          <w:color w:val="000000"/>
          <w:sz w:val="22"/>
        </w:rPr>
        <w:t xml:space="preserve"> </w:t>
      </w:r>
      <w:r>
        <w:rPr>
          <w:rFonts w:ascii="Times New Roman" w:hAnsi="Times New Roman"/>
          <w:color w:val="000000"/>
          <w:sz w:val="24"/>
        </w:rPr>
        <w:t>shall</w:t>
      </w:r>
      <w:r>
        <w:rPr>
          <w:rFonts w:ascii="Times New Roman" w:hAnsi="Times New Roman"/>
          <w:color w:val="000000"/>
          <w:sz w:val="22"/>
        </w:rPr>
        <w:t xml:space="preserve"> </w:t>
      </w:r>
      <w:r>
        <w:rPr>
          <w:rFonts w:ascii="Times New Roman" w:hAnsi="Times New Roman"/>
          <w:color w:val="000000"/>
          <w:sz w:val="24"/>
        </w:rPr>
        <w:t>have</w:t>
      </w:r>
      <w:r>
        <w:rPr>
          <w:rFonts w:ascii="Times New Roman" w:hAnsi="Times New Roman"/>
          <w:color w:val="000000"/>
          <w:sz w:val="22"/>
        </w:rPr>
        <w:t xml:space="preserve"> </w:t>
      </w:r>
      <w:r>
        <w:rPr>
          <w:rFonts w:ascii="Times New Roman" w:hAnsi="Times New Roman"/>
          <w:color w:val="000000"/>
          <w:sz w:val="24"/>
        </w:rPr>
        <w:t>received</w:t>
      </w:r>
      <w:r>
        <w:rPr>
          <w:rFonts w:ascii="Times New Roman" w:hAnsi="Times New Roman"/>
          <w:color w:val="000000"/>
          <w:sz w:val="22"/>
        </w:rPr>
        <w:t xml:space="preserve"> </w:t>
      </w:r>
      <w:r>
        <w:rPr>
          <w:rFonts w:ascii="Times New Roman" w:hAnsi="Times New Roman"/>
          <w:color w:val="000000"/>
          <w:sz w:val="24"/>
        </w:rPr>
        <w:t>insufficient</w:t>
      </w:r>
      <w:r>
        <w:rPr>
          <w:rFonts w:ascii="Times New Roman" w:hAnsi="Times New Roman"/>
          <w:color w:val="000000"/>
          <w:sz w:val="22"/>
        </w:rPr>
        <w:t xml:space="preserve"> </w:t>
      </w:r>
      <w:r>
        <w:rPr>
          <w:rFonts w:ascii="Times New Roman" w:hAnsi="Times New Roman"/>
          <w:color w:val="000000"/>
          <w:sz w:val="24"/>
        </w:rPr>
        <w:t>funds</w:t>
      </w:r>
      <w:r>
        <w:rPr>
          <w:rFonts w:ascii="Times New Roman" w:hAnsi="Times New Roman"/>
          <w:color w:val="000000"/>
          <w:sz w:val="22"/>
        </w:rPr>
        <w:t xml:space="preserve"> </w:t>
      </w:r>
      <w:r>
        <w:rPr>
          <w:rFonts w:ascii="Times New Roman" w:hAnsi="Times New Roman"/>
          <w:color w:val="000000"/>
          <w:sz w:val="24"/>
        </w:rPr>
        <w:t>to</w:t>
      </w:r>
      <w:r>
        <w:rPr>
          <w:rFonts w:ascii="Times New Roman" w:hAnsi="Times New Roman"/>
          <w:color w:val="000000"/>
          <w:sz w:val="22"/>
        </w:rPr>
        <w:t xml:space="preserve"> </w:t>
      </w:r>
      <w:r>
        <w:rPr>
          <w:rFonts w:ascii="Times New Roman" w:hAnsi="Times New Roman"/>
          <w:color w:val="000000"/>
          <w:sz w:val="24"/>
        </w:rPr>
        <w:t>pay</w:t>
      </w:r>
      <w:r>
        <w:rPr>
          <w:rFonts w:ascii="Times New Roman" w:hAnsi="Times New Roman"/>
          <w:color w:val="000000"/>
          <w:sz w:val="22"/>
        </w:rPr>
        <w:t xml:space="preserve"> </w:t>
      </w:r>
      <w:r>
        <w:rPr>
          <w:rFonts w:ascii="Times New Roman" w:hAnsi="Times New Roman"/>
          <w:color w:val="000000"/>
          <w:sz w:val="24"/>
        </w:rPr>
        <w:t>all</w:t>
      </w:r>
      <w:r>
        <w:rPr>
          <w:rFonts w:ascii="Times New Roman" w:hAnsi="Times New Roman"/>
          <w:color w:val="000000"/>
          <w:sz w:val="22"/>
        </w:rPr>
        <w:t xml:space="preserve"> </w:t>
      </w:r>
      <w:r>
        <w:rPr>
          <w:rFonts w:ascii="Times New Roman" w:hAnsi="Times New Roman"/>
          <w:color w:val="000000"/>
          <w:sz w:val="24"/>
        </w:rPr>
        <w:t>of</w:t>
      </w:r>
      <w:r>
        <w:rPr>
          <w:rFonts w:ascii="Times New Roman" w:hAnsi="Times New Roman"/>
          <w:color w:val="000000"/>
          <w:sz w:val="22"/>
        </w:rPr>
        <w:t xml:space="preserve"> </w:t>
      </w:r>
      <w:r>
        <w:rPr>
          <w:rFonts w:ascii="Times New Roman" w:hAnsi="Times New Roman"/>
          <w:color w:val="000000"/>
          <w:sz w:val="24"/>
        </w:rPr>
        <w:t>the</w:t>
      </w:r>
      <w:r>
        <w:rPr>
          <w:rFonts w:ascii="Times New Roman" w:hAnsi="Times New Roman"/>
          <w:color w:val="000000"/>
          <w:sz w:val="22"/>
        </w:rPr>
        <w:t xml:space="preserve"> </w:t>
      </w:r>
      <w:r>
        <w:rPr>
          <w:rFonts w:ascii="Times New Roman" w:hAnsi="Times New Roman"/>
          <w:color w:val="000000"/>
          <w:sz w:val="24"/>
        </w:rPr>
        <w:t>above amounts in full on any such date, such Group Agent shall pay such amounts to the applicable Purchasers,</w:t>
      </w:r>
      <w:r>
        <w:rPr>
          <w:rFonts w:ascii="Times New Roman" w:hAnsi="Times New Roman"/>
          <w:color w:val="000000"/>
          <w:sz w:val="22"/>
        </w:rPr>
        <w:t xml:space="preserve"> </w:t>
      </w:r>
      <w:r>
        <w:rPr>
          <w:rFonts w:ascii="Times New Roman" w:hAnsi="Times New Roman"/>
          <w:color w:val="000000"/>
          <w:sz w:val="24"/>
        </w:rPr>
        <w:t>Affected</w:t>
      </w:r>
      <w:r>
        <w:rPr>
          <w:rFonts w:ascii="Times New Roman" w:hAnsi="Times New Roman"/>
          <w:color w:val="000000"/>
          <w:sz w:val="22"/>
        </w:rPr>
        <w:t xml:space="preserve"> </w:t>
      </w:r>
      <w:r>
        <w:rPr>
          <w:rFonts w:ascii="Times New Roman" w:hAnsi="Times New Roman"/>
          <w:color w:val="000000"/>
          <w:sz w:val="24"/>
        </w:rPr>
        <w:t>Persons</w:t>
      </w:r>
      <w:r>
        <w:rPr>
          <w:rFonts w:ascii="Times New Roman" w:hAnsi="Times New Roman"/>
          <w:color w:val="000000"/>
          <w:sz w:val="22"/>
        </w:rPr>
        <w:t xml:space="preserve"> </w:t>
      </w:r>
      <w:r>
        <w:rPr>
          <w:rFonts w:ascii="Times New Roman" w:hAnsi="Times New Roman"/>
          <w:color w:val="000000"/>
          <w:sz w:val="24"/>
        </w:rPr>
        <w:t>and</w:t>
      </w:r>
      <w:r>
        <w:rPr>
          <w:rFonts w:ascii="Times New Roman" w:hAnsi="Times New Roman"/>
          <w:color w:val="000000"/>
          <w:sz w:val="22"/>
        </w:rPr>
        <w:t xml:space="preserve"> </w:t>
      </w:r>
      <w:r>
        <w:rPr>
          <w:rFonts w:ascii="Times New Roman" w:hAnsi="Times New Roman"/>
          <w:color w:val="000000"/>
          <w:sz w:val="24"/>
        </w:rPr>
        <w:t>the</w:t>
      </w:r>
      <w:r>
        <w:rPr>
          <w:rFonts w:ascii="Times New Roman" w:hAnsi="Times New Roman"/>
          <w:color w:val="000000"/>
          <w:sz w:val="22"/>
        </w:rPr>
        <w:t xml:space="preserve"> </w:t>
      </w:r>
      <w:r>
        <w:rPr>
          <w:rFonts w:ascii="Times New Roman" w:hAnsi="Times New Roman"/>
          <w:color w:val="000000"/>
          <w:sz w:val="24"/>
        </w:rPr>
        <w:t>Seller</w:t>
      </w:r>
      <w:r>
        <w:rPr>
          <w:rFonts w:ascii="Times New Roman" w:hAnsi="Times New Roman"/>
          <w:color w:val="000000"/>
          <w:sz w:val="22"/>
        </w:rPr>
        <w:t xml:space="preserve"> </w:t>
      </w:r>
      <w:r>
        <w:rPr>
          <w:rFonts w:ascii="Times New Roman" w:hAnsi="Times New Roman"/>
          <w:color w:val="000000"/>
          <w:sz w:val="24"/>
        </w:rPr>
        <w:t>Indemnified</w:t>
      </w:r>
      <w:r>
        <w:rPr>
          <w:rFonts w:ascii="Times New Roman" w:hAnsi="Times New Roman"/>
          <w:color w:val="000000"/>
          <w:sz w:val="22"/>
        </w:rPr>
        <w:t xml:space="preserve"> </w:t>
      </w:r>
      <w:r>
        <w:rPr>
          <w:rFonts w:ascii="Times New Roman" w:hAnsi="Times New Roman"/>
          <w:color w:val="000000"/>
          <w:sz w:val="24"/>
        </w:rPr>
        <w:t>Parties</w:t>
      </w:r>
      <w:r>
        <w:rPr>
          <w:rFonts w:ascii="Times New Roman" w:hAnsi="Times New Roman"/>
          <w:color w:val="000000"/>
          <w:sz w:val="22"/>
        </w:rPr>
        <w:t xml:space="preserve"> </w:t>
      </w:r>
      <w:r>
        <w:rPr>
          <w:rFonts w:ascii="Times New Roman" w:hAnsi="Times New Roman"/>
          <w:color w:val="000000"/>
          <w:sz w:val="24"/>
        </w:rPr>
        <w:t>within</w:t>
      </w:r>
      <w:r>
        <w:rPr>
          <w:rFonts w:ascii="Times New Roman" w:hAnsi="Times New Roman"/>
          <w:color w:val="000000"/>
          <w:sz w:val="22"/>
        </w:rPr>
        <w:t xml:space="preserve"> </w:t>
      </w:r>
      <w:r>
        <w:rPr>
          <w:rFonts w:ascii="Times New Roman" w:hAnsi="Times New Roman"/>
          <w:color w:val="000000"/>
          <w:sz w:val="24"/>
        </w:rPr>
        <w:t>its</w:t>
      </w:r>
      <w:r>
        <w:rPr>
          <w:rFonts w:ascii="Times New Roman" w:hAnsi="Times New Roman"/>
          <w:color w:val="000000"/>
          <w:sz w:val="22"/>
        </w:rPr>
        <w:t xml:space="preserve"> </w:t>
      </w:r>
      <w:r>
        <w:rPr>
          <w:rFonts w:ascii="Times New Roman" w:hAnsi="Times New Roman"/>
          <w:color w:val="000000"/>
          <w:sz w:val="24"/>
        </w:rPr>
        <w:t>Group</w:t>
      </w:r>
      <w:r>
        <w:rPr>
          <w:rFonts w:ascii="Times New Roman" w:hAnsi="Times New Roman"/>
          <w:color w:val="000000"/>
          <w:sz w:val="22"/>
        </w:rPr>
        <w:t xml:space="preserve"> </w:t>
      </w:r>
      <w:r>
        <w:rPr>
          <w:rFonts w:ascii="Times New Roman" w:hAnsi="Times New Roman"/>
          <w:color w:val="000000"/>
          <w:sz w:val="24"/>
        </w:rPr>
        <w:t>in</w:t>
      </w:r>
      <w:r>
        <w:rPr>
          <w:rFonts w:ascii="Times New Roman" w:hAnsi="Times New Roman"/>
          <w:color w:val="000000"/>
          <w:sz w:val="22"/>
        </w:rPr>
        <w:t xml:space="preserve"> </w:t>
      </w:r>
      <w:r>
        <w:rPr>
          <w:rFonts w:ascii="Times New Roman" w:hAnsi="Times New Roman"/>
          <w:color w:val="000000"/>
          <w:sz w:val="24"/>
        </w:rPr>
        <w:t>accordance with the priority of payments forth above, and with respect to any such category above for which</w:t>
      </w:r>
      <w:r>
        <w:rPr>
          <w:rFonts w:ascii="Times New Roman" w:hAnsi="Times New Roman"/>
          <w:color w:val="000000"/>
          <w:sz w:val="22"/>
        </w:rPr>
        <w:t xml:space="preserve"> </w:t>
      </w:r>
      <w:r>
        <w:rPr>
          <w:rFonts w:ascii="Times New Roman" w:hAnsi="Times New Roman"/>
          <w:color w:val="000000"/>
          <w:sz w:val="24"/>
        </w:rPr>
        <w:t>there</w:t>
      </w:r>
      <w:r>
        <w:rPr>
          <w:rFonts w:ascii="Times New Roman" w:hAnsi="Times New Roman"/>
          <w:color w:val="000000"/>
          <w:sz w:val="22"/>
        </w:rPr>
        <w:t xml:space="preserve"> </w:t>
      </w:r>
      <w:r>
        <w:rPr>
          <w:rFonts w:ascii="Times New Roman" w:hAnsi="Times New Roman"/>
          <w:color w:val="000000"/>
          <w:sz w:val="24"/>
        </w:rPr>
        <w:t>are</w:t>
      </w:r>
      <w:r>
        <w:rPr>
          <w:rFonts w:ascii="Times New Roman" w:hAnsi="Times New Roman"/>
          <w:color w:val="000000"/>
          <w:sz w:val="22"/>
        </w:rPr>
        <w:t xml:space="preserve"> </w:t>
      </w:r>
      <w:r>
        <w:rPr>
          <w:rFonts w:ascii="Times New Roman" w:hAnsi="Times New Roman"/>
          <w:color w:val="000000"/>
          <w:sz w:val="24"/>
        </w:rPr>
        <w:t>insufficient</w:t>
      </w:r>
      <w:r>
        <w:rPr>
          <w:rFonts w:ascii="Times New Roman" w:hAnsi="Times New Roman"/>
          <w:color w:val="000000"/>
          <w:sz w:val="22"/>
        </w:rPr>
        <w:t xml:space="preserve"> </w:t>
      </w:r>
      <w:r>
        <w:rPr>
          <w:rFonts w:ascii="Times New Roman" w:hAnsi="Times New Roman"/>
          <w:color w:val="000000"/>
          <w:sz w:val="24"/>
        </w:rPr>
        <w:t>funds</w:t>
      </w:r>
      <w:r>
        <w:rPr>
          <w:rFonts w:ascii="Times New Roman" w:hAnsi="Times New Roman"/>
          <w:color w:val="000000"/>
          <w:sz w:val="22"/>
        </w:rPr>
        <w:t xml:space="preserve"> </w:t>
      </w:r>
      <w:r>
        <w:rPr>
          <w:rFonts w:ascii="Times New Roman" w:hAnsi="Times New Roman"/>
          <w:color w:val="000000"/>
          <w:sz w:val="24"/>
        </w:rPr>
        <w:t>to</w:t>
      </w:r>
      <w:r>
        <w:rPr>
          <w:rFonts w:ascii="Times New Roman" w:hAnsi="Times New Roman"/>
          <w:color w:val="000000"/>
          <w:sz w:val="22"/>
        </w:rPr>
        <w:t xml:space="preserve"> </w:t>
      </w:r>
      <w:r>
        <w:rPr>
          <w:rFonts w:ascii="Times New Roman" w:hAnsi="Times New Roman"/>
          <w:color w:val="000000"/>
          <w:sz w:val="24"/>
        </w:rPr>
        <w:t>pay</w:t>
      </w:r>
      <w:r>
        <w:rPr>
          <w:rFonts w:ascii="Times New Roman" w:hAnsi="Times New Roman"/>
          <w:color w:val="000000"/>
          <w:sz w:val="22"/>
        </w:rPr>
        <w:t xml:space="preserve"> </w:t>
      </w:r>
      <w:r>
        <w:rPr>
          <w:rFonts w:ascii="Times New Roman" w:hAnsi="Times New Roman"/>
          <w:color w:val="000000"/>
          <w:sz w:val="24"/>
        </w:rPr>
        <w:t>all</w:t>
      </w:r>
      <w:r>
        <w:rPr>
          <w:rFonts w:ascii="Times New Roman" w:hAnsi="Times New Roman"/>
          <w:color w:val="000000"/>
          <w:sz w:val="22"/>
        </w:rPr>
        <w:t xml:space="preserve"> </w:t>
      </w:r>
      <w:r>
        <w:rPr>
          <w:rFonts w:ascii="Times New Roman" w:hAnsi="Times New Roman"/>
          <w:color w:val="000000"/>
          <w:sz w:val="24"/>
        </w:rPr>
        <w:t>amounts</w:t>
      </w:r>
      <w:r>
        <w:rPr>
          <w:rFonts w:ascii="Times New Roman" w:hAnsi="Times New Roman"/>
          <w:color w:val="000000"/>
          <w:sz w:val="22"/>
        </w:rPr>
        <w:t xml:space="preserve"> </w:t>
      </w:r>
      <w:r>
        <w:rPr>
          <w:rFonts w:ascii="Times New Roman" w:hAnsi="Times New Roman"/>
          <w:color w:val="000000"/>
          <w:sz w:val="24"/>
        </w:rPr>
        <w:t>owing</w:t>
      </w:r>
      <w:r>
        <w:rPr>
          <w:rFonts w:ascii="Times New Roman" w:hAnsi="Times New Roman"/>
          <w:color w:val="000000"/>
          <w:sz w:val="22"/>
        </w:rPr>
        <w:t xml:space="preserve"> </w:t>
      </w:r>
      <w:r>
        <w:rPr>
          <w:rFonts w:ascii="Times New Roman" w:hAnsi="Times New Roman"/>
          <w:color w:val="000000"/>
          <w:sz w:val="24"/>
        </w:rPr>
        <w:t>on</w:t>
      </w:r>
      <w:r>
        <w:rPr>
          <w:rFonts w:ascii="Times New Roman" w:hAnsi="Times New Roman"/>
          <w:color w:val="000000"/>
          <w:sz w:val="22"/>
        </w:rPr>
        <w:t xml:space="preserve"> </w:t>
      </w:r>
      <w:r>
        <w:rPr>
          <w:rFonts w:ascii="Times New Roman" w:hAnsi="Times New Roman"/>
          <w:color w:val="000000"/>
          <w:sz w:val="24"/>
        </w:rPr>
        <w:t>such</w:t>
      </w:r>
      <w:r>
        <w:rPr>
          <w:rFonts w:ascii="Times New Roman" w:hAnsi="Times New Roman"/>
          <w:color w:val="000000"/>
          <w:sz w:val="22"/>
        </w:rPr>
        <w:t xml:space="preserve"> </w:t>
      </w:r>
      <w:r>
        <w:rPr>
          <w:rFonts w:ascii="Times New Roman" w:hAnsi="Times New Roman"/>
          <w:color w:val="000000"/>
          <w:sz w:val="24"/>
        </w:rPr>
        <w:t>date,</w:t>
      </w:r>
      <w:r>
        <w:rPr>
          <w:rFonts w:ascii="Times New Roman" w:hAnsi="Times New Roman"/>
          <w:color w:val="000000"/>
          <w:sz w:val="22"/>
        </w:rPr>
        <w:t xml:space="preserve"> </w:t>
      </w:r>
      <w:r>
        <w:rPr>
          <w:rFonts w:ascii="Times New Roman" w:hAnsi="Times New Roman"/>
          <w:color w:val="000000"/>
          <w:sz w:val="24"/>
        </w:rPr>
        <w:t>ratably</w:t>
      </w:r>
      <w:r>
        <w:rPr>
          <w:rFonts w:ascii="Times New Roman" w:hAnsi="Times New Roman"/>
          <w:color w:val="000000"/>
          <w:sz w:val="22"/>
        </w:rPr>
        <w:t xml:space="preserve"> </w:t>
      </w:r>
      <w:r>
        <w:rPr>
          <w:rFonts w:ascii="Times New Roman" w:hAnsi="Times New Roman"/>
          <w:color w:val="000000"/>
          <w:sz w:val="24"/>
        </w:rPr>
        <w:t>(based</w:t>
      </w:r>
      <w:r>
        <w:rPr>
          <w:rFonts w:ascii="Times New Roman" w:hAnsi="Times New Roman"/>
          <w:color w:val="000000"/>
          <w:sz w:val="22"/>
        </w:rPr>
        <w:t xml:space="preserve"> </w:t>
      </w:r>
      <w:r>
        <w:rPr>
          <w:rFonts w:ascii="Times New Roman" w:hAnsi="Times New Roman"/>
          <w:color w:val="000000"/>
          <w:sz w:val="24"/>
        </w:rPr>
        <w:t>on</w:t>
      </w:r>
      <w:r>
        <w:rPr>
          <w:rFonts w:ascii="Times New Roman" w:hAnsi="Times New Roman"/>
          <w:color w:val="000000"/>
          <w:sz w:val="22"/>
        </w:rPr>
        <w:t xml:space="preserve"> </w:t>
      </w:r>
      <w:r>
        <w:rPr>
          <w:rFonts w:ascii="Times New Roman" w:hAnsi="Times New Roman"/>
          <w:color w:val="000000"/>
          <w:sz w:val="24"/>
        </w:rPr>
        <w:t>the amounts</w:t>
      </w:r>
      <w:r>
        <w:rPr>
          <w:rFonts w:ascii="Times New Roman" w:hAnsi="Times New Roman"/>
          <w:color w:val="000000"/>
          <w:sz w:val="22"/>
        </w:rPr>
        <w:t xml:space="preserve"> </w:t>
      </w:r>
      <w:r>
        <w:rPr>
          <w:rFonts w:ascii="Times New Roman" w:hAnsi="Times New Roman"/>
          <w:color w:val="000000"/>
          <w:sz w:val="24"/>
        </w:rPr>
        <w:t>in</w:t>
      </w:r>
      <w:r>
        <w:rPr>
          <w:rFonts w:ascii="Times New Roman" w:hAnsi="Times New Roman"/>
          <w:color w:val="000000"/>
          <w:sz w:val="22"/>
        </w:rPr>
        <w:t xml:space="preserve"> </w:t>
      </w:r>
      <w:r>
        <w:rPr>
          <w:rFonts w:ascii="Times New Roman" w:hAnsi="Times New Roman"/>
          <w:color w:val="000000"/>
          <w:sz w:val="24"/>
        </w:rPr>
        <w:t>such</w:t>
      </w:r>
      <w:r>
        <w:rPr>
          <w:rFonts w:ascii="Times New Roman" w:hAnsi="Times New Roman"/>
          <w:color w:val="000000"/>
          <w:sz w:val="22"/>
        </w:rPr>
        <w:t xml:space="preserve"> </w:t>
      </w:r>
      <w:r>
        <w:rPr>
          <w:rFonts w:ascii="Times New Roman" w:hAnsi="Times New Roman"/>
          <w:color w:val="000000"/>
          <w:sz w:val="24"/>
        </w:rPr>
        <w:t>categories</w:t>
      </w:r>
      <w:r>
        <w:rPr>
          <w:rFonts w:ascii="Times New Roman" w:hAnsi="Times New Roman"/>
          <w:color w:val="000000"/>
          <w:sz w:val="22"/>
        </w:rPr>
        <w:t xml:space="preserve"> </w:t>
      </w:r>
      <w:r>
        <w:rPr>
          <w:rFonts w:ascii="Times New Roman" w:hAnsi="Times New Roman"/>
          <w:color w:val="000000"/>
          <w:sz w:val="24"/>
        </w:rPr>
        <w:t>owing</w:t>
      </w:r>
      <w:r>
        <w:rPr>
          <w:rFonts w:ascii="Times New Roman" w:hAnsi="Times New Roman"/>
          <w:color w:val="000000"/>
          <w:sz w:val="22"/>
        </w:rPr>
        <w:t xml:space="preserve"> </w:t>
      </w:r>
      <w:r>
        <w:rPr>
          <w:rFonts w:ascii="Times New Roman" w:hAnsi="Times New Roman"/>
          <w:color w:val="000000"/>
          <w:sz w:val="24"/>
        </w:rPr>
        <w:t>to</w:t>
      </w:r>
      <w:r>
        <w:rPr>
          <w:rFonts w:ascii="Times New Roman" w:hAnsi="Times New Roman"/>
          <w:color w:val="000000"/>
          <w:sz w:val="22"/>
        </w:rPr>
        <w:t xml:space="preserve"> </w:t>
      </w:r>
      <w:r>
        <w:rPr>
          <w:rFonts w:ascii="Times New Roman" w:hAnsi="Times New Roman"/>
          <w:color w:val="000000"/>
          <w:sz w:val="24"/>
        </w:rPr>
        <w:t>each</w:t>
      </w:r>
      <w:r>
        <w:rPr>
          <w:rFonts w:ascii="Times New Roman" w:hAnsi="Times New Roman"/>
          <w:color w:val="000000"/>
          <w:sz w:val="22"/>
        </w:rPr>
        <w:t xml:space="preserve"> </w:t>
      </w:r>
      <w:r>
        <w:rPr>
          <w:rFonts w:ascii="Times New Roman" w:hAnsi="Times New Roman"/>
          <w:color w:val="000000"/>
          <w:sz w:val="24"/>
        </w:rPr>
        <w:t>such</w:t>
      </w:r>
      <w:r>
        <w:rPr>
          <w:rFonts w:ascii="Times New Roman" w:hAnsi="Times New Roman"/>
          <w:color w:val="000000"/>
          <w:sz w:val="22"/>
        </w:rPr>
        <w:t xml:space="preserve"> </w:t>
      </w:r>
      <w:r>
        <w:rPr>
          <w:rFonts w:ascii="Times New Roman" w:hAnsi="Times New Roman"/>
          <w:color w:val="000000"/>
          <w:sz w:val="24"/>
        </w:rPr>
        <w:t>Person</w:t>
      </w:r>
      <w:r>
        <w:rPr>
          <w:rFonts w:ascii="Times New Roman" w:hAnsi="Times New Roman"/>
          <w:color w:val="000000"/>
          <w:sz w:val="22"/>
        </w:rPr>
        <w:t xml:space="preserve"> </w:t>
      </w:r>
      <w:r>
        <w:rPr>
          <w:rFonts w:ascii="Times New Roman" w:hAnsi="Times New Roman"/>
          <w:color w:val="000000"/>
          <w:sz w:val="24"/>
        </w:rPr>
        <w:t>in</w:t>
      </w:r>
      <w:r>
        <w:rPr>
          <w:rFonts w:ascii="Times New Roman" w:hAnsi="Times New Roman"/>
          <w:color w:val="000000"/>
          <w:sz w:val="22"/>
        </w:rPr>
        <w:t xml:space="preserve"> </w:t>
      </w:r>
      <w:r>
        <w:rPr>
          <w:rFonts w:ascii="Times New Roman" w:hAnsi="Times New Roman"/>
          <w:color w:val="000000"/>
          <w:sz w:val="24"/>
        </w:rPr>
        <w:t>such</w:t>
      </w:r>
      <w:r>
        <w:rPr>
          <w:rFonts w:ascii="Times New Roman" w:hAnsi="Times New Roman"/>
          <w:color w:val="000000"/>
          <w:sz w:val="22"/>
        </w:rPr>
        <w:t xml:space="preserve"> </w:t>
      </w:r>
      <w:r>
        <w:rPr>
          <w:rFonts w:ascii="Times New Roman" w:hAnsi="Times New Roman"/>
          <w:color w:val="000000"/>
          <w:sz w:val="24"/>
        </w:rPr>
        <w:t>Group)</w:t>
      </w:r>
      <w:r>
        <w:rPr>
          <w:rFonts w:ascii="Times New Roman" w:hAnsi="Times New Roman"/>
          <w:color w:val="000000"/>
          <w:sz w:val="22"/>
        </w:rPr>
        <w:t xml:space="preserve"> </w:t>
      </w:r>
      <w:r>
        <w:rPr>
          <w:rFonts w:ascii="Times New Roman" w:hAnsi="Times New Roman"/>
          <w:color w:val="000000"/>
          <w:sz w:val="24"/>
        </w:rPr>
        <w:t>among</w:t>
      </w:r>
      <w:r>
        <w:rPr>
          <w:rFonts w:ascii="Times New Roman" w:hAnsi="Times New Roman"/>
          <w:color w:val="000000"/>
          <w:sz w:val="22"/>
        </w:rPr>
        <w:t xml:space="preserve"> </w:t>
      </w:r>
      <w:r>
        <w:rPr>
          <w:rFonts w:ascii="Times New Roman" w:hAnsi="Times New Roman"/>
          <w:color w:val="000000"/>
          <w:sz w:val="24"/>
        </w:rPr>
        <w:t>all</w:t>
      </w:r>
      <w:r>
        <w:rPr>
          <w:rFonts w:ascii="Times New Roman" w:hAnsi="Times New Roman"/>
          <w:color w:val="000000"/>
          <w:sz w:val="22"/>
        </w:rPr>
        <w:t xml:space="preserve"> </w:t>
      </w:r>
      <w:r>
        <w:rPr>
          <w:rFonts w:ascii="Times New Roman" w:hAnsi="Times New Roman"/>
          <w:color w:val="000000"/>
          <w:sz w:val="24"/>
        </w:rPr>
        <w:t>such</w:t>
      </w:r>
      <w:r>
        <w:rPr>
          <w:rFonts w:ascii="Times New Roman" w:hAnsi="Times New Roman"/>
          <w:color w:val="000000"/>
          <w:sz w:val="22"/>
        </w:rPr>
        <w:t xml:space="preserve"> </w:t>
      </w:r>
      <w:r>
        <w:rPr>
          <w:rFonts w:ascii="Times New Roman" w:hAnsi="Times New Roman"/>
          <w:color w:val="000000"/>
          <w:sz w:val="24"/>
        </w:rPr>
        <w:t>Persons in such Group entitled to payment thereof.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If and to the extent the Administrative Agent, any Purchaser Party, any Affected Person or any Seller Indemnified Party shall be required for any reason to pay over to any Person (including any Obligor or any trustee, receiver, custodian or similar official in any Insolvency Proceeding) any amount received on its behalf hereunder, such amount shall be deemed not to have been so received but rather to have been retained by the Seller and, accordingly, the Administrative Agent, such Purchaser Party, such Affected Person or such Seller Indemnified Party, as the case may be, shall have a claim against the Seller for such amount.</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(d) For the purposes of this </w:t>
      </w:r>
      <w:r>
        <w:rPr>
          <w:rFonts w:ascii="Times New Roman" w:hAnsi="Times New Roman"/>
          <w:color w:val="000000"/>
          <w:sz w:val="24"/>
          <w:u w:val="single"/>
        </w:rPr>
        <w:t>Section 3.01</w:t>
      </w:r>
      <w:r>
        <w:rPr>
          <w:rFonts w:ascii="Times New Roman" w:hAnsi="Times New Roman"/>
          <w:color w:val="000000"/>
          <w:sz w:val="24"/>
        </w:rPr>
        <w: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 if on any day the Outstanding Balance of any Pool Receivable is reduced or adjusted as a result of any Dilution, the Seller shall be deemed to have received on such day a Collection of such Pool Receivable in the amount of such reduction or adjustment and shall on the second Business Day following knowledge of such Dilution pay any and all such amounts in respect thereof to a Seller Collection Account (or as otherwise directed by the Administrative Agent at such time) for the benefit of the Purchaser Parties for application pursuant to </w:t>
      </w:r>
      <w:r>
        <w:rPr>
          <w:rFonts w:ascii="Times New Roman" w:hAnsi="Times New Roman"/>
          <w:color w:val="000000"/>
          <w:sz w:val="24"/>
          <w:u w:val="single"/>
        </w:rPr>
        <w:t>Section 3.01(a)</w:t>
      </w:r>
      <w:r>
        <w:rPr>
          <w:rFonts w:ascii="Times New Roman" w:hAnsi="Times New Roman"/>
          <w:color w:val="000000"/>
          <w:sz w:val="24"/>
        </w:rPr>
        <w:t>;</w:t>
      </w:r>
    </w:p>
    <w:p>
      <w:pPr>
        <w:pStyle w:val="TextBody"/>
        <w:bidi w:val="0"/>
        <w:spacing w:before="240" w:after="283"/>
        <w:jc w:val="both"/>
        <w:rPr>
          <w:rFonts w:ascii="Times New Roman" w:hAnsi="Times New Roman"/>
          <w:sz w:val="24"/>
        </w:rPr>
      </w:pPr>
      <w:r>
        <w:rPr>
          <w:rFonts w:ascii="Times New Roman" w:hAnsi="Times New Roman"/>
          <w:color w:val="000000"/>
          <w:sz w:val="24"/>
        </w:rPr>
        <w:t>(ii) if on any day any of the representations or warranties in paragraphs (s) (</w:t>
      </w:r>
      <w:r>
        <w:rPr>
          <w:rFonts w:ascii="Times New Roman" w:hAnsi="Times New Roman"/>
          <w:i/>
          <w:color w:val="000000"/>
          <w:sz w:val="24"/>
        </w:rPr>
        <w:t>Perfection Representations</w:t>
      </w:r>
      <w:r>
        <w:rPr>
          <w:rFonts w:ascii="Times New Roman" w:hAnsi="Times New Roman"/>
          <w:color w:val="000000"/>
          <w:sz w:val="24"/>
        </w:rPr>
        <w:t>), (w) (</w:t>
      </w:r>
      <w:r>
        <w:rPr>
          <w:rFonts w:ascii="Times New Roman" w:hAnsi="Times New Roman"/>
          <w:i/>
          <w:color w:val="000000"/>
          <w:sz w:val="24"/>
        </w:rPr>
        <w:t xml:space="preserve">Eligible Receivables) </w:t>
      </w:r>
      <w:r>
        <w:rPr>
          <w:rFonts w:ascii="Times New Roman" w:hAnsi="Times New Roman"/>
          <w:color w:val="000000"/>
          <w:sz w:val="24"/>
        </w:rPr>
        <w:t>and (u) (</w:t>
      </w:r>
      <w:r>
        <w:rPr>
          <w:rFonts w:ascii="Times New Roman" w:hAnsi="Times New Roman"/>
          <w:i/>
          <w:color w:val="000000"/>
          <w:sz w:val="24"/>
        </w:rPr>
        <w:t>Ordinary</w:t>
      </w:r>
      <w:r>
        <w:rPr>
          <w:rFonts w:ascii="Times New Roman" w:hAnsi="Times New Roman"/>
          <w:color w:val="000000"/>
          <w:sz w:val="24"/>
        </w:rPr>
        <w:t xml:space="preserve"> </w:t>
      </w:r>
      <w:r>
        <w:rPr>
          <w:rFonts w:ascii="Times New Roman" w:hAnsi="Times New Roman"/>
          <w:i/>
          <w:color w:val="000000"/>
          <w:sz w:val="24"/>
        </w:rPr>
        <w:t>Course</w:t>
      </w:r>
      <w:r>
        <w:rPr>
          <w:rFonts w:ascii="Times New Roman" w:hAnsi="Times New Roman"/>
          <w:color w:val="000000"/>
          <w:sz w:val="24"/>
        </w:rPr>
        <w:t xml:space="preserve"> </w:t>
      </w:r>
      <w:r>
        <w:rPr>
          <w:rFonts w:ascii="Times New Roman" w:hAnsi="Times New Roman"/>
          <w:i/>
          <w:color w:val="000000"/>
          <w:sz w:val="24"/>
        </w:rPr>
        <w:t>of</w:t>
      </w:r>
      <w:r>
        <w:rPr>
          <w:rFonts w:ascii="Times New Roman" w:hAnsi="Times New Roman"/>
          <w:color w:val="000000"/>
          <w:sz w:val="24"/>
        </w:rPr>
        <w:t xml:space="preserve"> </w:t>
      </w:r>
      <w:r>
        <w:rPr>
          <w:rFonts w:ascii="Times New Roman" w:hAnsi="Times New Roman"/>
          <w:i/>
          <w:color w:val="000000"/>
          <w:sz w:val="24"/>
        </w:rPr>
        <w:t>Business</w:t>
      </w:r>
      <w:r>
        <w:rPr>
          <w:rFonts w:ascii="Times New Roman" w:hAnsi="Times New Roman"/>
          <w:color w:val="000000"/>
          <w:sz w:val="24"/>
        </w:rPr>
        <w:t xml:space="preserve">) of </w:t>
      </w:r>
      <w:r>
        <w:rPr>
          <w:rFonts w:ascii="Times New Roman" w:hAnsi="Times New Roman"/>
          <w:color w:val="000000"/>
          <w:sz w:val="24"/>
          <w:u w:val="single"/>
        </w:rPr>
        <w:t>Schedule 3 (</w:t>
      </w:r>
      <w:r>
        <w:rPr>
          <w:rFonts w:ascii="Times New Roman" w:hAnsi="Times New Roman"/>
          <w:i/>
          <w:color w:val="000000"/>
          <w:sz w:val="24"/>
          <w:u w:val="single"/>
        </w:rPr>
        <w:t>Representations</w:t>
      </w:r>
      <w:r>
        <w:rPr>
          <w:rFonts w:ascii="Times New Roman" w:hAnsi="Times New Roman"/>
          <w:color w:val="000000"/>
          <w:sz w:val="24"/>
          <w:u w:val="single"/>
        </w:rPr>
        <w:t xml:space="preserve"> </w:t>
      </w:r>
      <w:r>
        <w:rPr>
          <w:rFonts w:ascii="Times New Roman" w:hAnsi="Times New Roman"/>
          <w:i/>
          <w:color w:val="000000"/>
          <w:sz w:val="24"/>
          <w:u w:val="single"/>
        </w:rPr>
        <w:t>and</w:t>
      </w:r>
      <w:r>
        <w:rPr>
          <w:rFonts w:ascii="Times New Roman" w:hAnsi="Times New Roman"/>
          <w:color w:val="000000"/>
          <w:sz w:val="24"/>
          <w:u w:val="single"/>
        </w:rPr>
        <w:t xml:space="preserve"> </w:t>
      </w:r>
      <w:r>
        <w:rPr>
          <w:rFonts w:ascii="Times New Roman" w:hAnsi="Times New Roman"/>
          <w:i/>
          <w:color w:val="000000"/>
          <w:sz w:val="24"/>
          <w:u w:val="single"/>
        </w:rPr>
        <w:t>Warranties</w:t>
      </w:r>
      <w:r>
        <w:rPr>
          <w:rFonts w:ascii="Times New Roman" w:hAnsi="Times New Roman"/>
          <w:color w:val="000000"/>
          <w:sz w:val="24"/>
          <w:u w:val="single"/>
        </w:rPr>
        <w:t>) Part 1</w:t>
      </w:r>
      <w:r>
        <w:rPr>
          <w:rFonts w:ascii="Times New Roman" w:hAnsi="Times New Roman"/>
          <w:color w:val="000000"/>
          <w:sz w:val="24"/>
        </w:rPr>
        <w:t xml:space="preserve"> </w:t>
      </w:r>
      <w:r>
        <w:rPr>
          <w:rFonts w:ascii="Times New Roman" w:hAnsi="Times New Roman"/>
          <w:color w:val="000000"/>
          <w:sz w:val="24"/>
          <w:u w:val="single"/>
        </w:rPr>
        <w:t>(</w:t>
      </w:r>
      <w:r>
        <w:rPr>
          <w:rFonts w:ascii="Times New Roman" w:hAnsi="Times New Roman"/>
          <w:i/>
          <w:color w:val="000000"/>
          <w:sz w:val="24"/>
          <w:u w:val="single"/>
        </w:rPr>
        <w:t>Representations</w:t>
      </w:r>
      <w:r>
        <w:rPr>
          <w:rFonts w:ascii="Times New Roman" w:hAnsi="Times New Roman"/>
          <w:color w:val="000000"/>
          <w:sz w:val="24"/>
          <w:u w:val="single"/>
        </w:rPr>
        <w:t xml:space="preserve"> </w:t>
      </w:r>
      <w:r>
        <w:rPr>
          <w:rFonts w:ascii="Times New Roman" w:hAnsi="Times New Roman"/>
          <w:i/>
          <w:color w:val="000000"/>
          <w:sz w:val="24"/>
          <w:u w:val="single"/>
        </w:rPr>
        <w:t>and</w:t>
      </w:r>
      <w:r>
        <w:rPr>
          <w:rFonts w:ascii="Times New Roman" w:hAnsi="Times New Roman"/>
          <w:color w:val="000000"/>
          <w:sz w:val="24"/>
          <w:u w:val="single"/>
        </w:rPr>
        <w:t xml:space="preserve"> </w:t>
      </w:r>
      <w:r>
        <w:rPr>
          <w:rFonts w:ascii="Times New Roman" w:hAnsi="Times New Roman"/>
          <w:i/>
          <w:color w:val="000000"/>
          <w:sz w:val="24"/>
          <w:u w:val="single"/>
        </w:rPr>
        <w:t>Warranties</w:t>
      </w:r>
      <w:r>
        <w:rPr>
          <w:rFonts w:ascii="Times New Roman" w:hAnsi="Times New Roman"/>
          <w:color w:val="000000"/>
          <w:sz w:val="24"/>
          <w:u w:val="single"/>
        </w:rPr>
        <w:t xml:space="preserve"> </w:t>
      </w:r>
      <w:r>
        <w:rPr>
          <w:rFonts w:ascii="Times New Roman" w:hAnsi="Times New Roman"/>
          <w:i/>
          <w:color w:val="000000"/>
          <w:sz w:val="24"/>
          <w:u w:val="single"/>
        </w:rPr>
        <w:t>of</w:t>
      </w:r>
      <w:r>
        <w:rPr>
          <w:rFonts w:ascii="Times New Roman" w:hAnsi="Times New Roman"/>
          <w:color w:val="000000"/>
          <w:sz w:val="24"/>
          <w:u w:val="single"/>
        </w:rPr>
        <w:t xml:space="preserve"> </w:t>
      </w:r>
      <w:r>
        <w:rPr>
          <w:rFonts w:ascii="Times New Roman" w:hAnsi="Times New Roman"/>
          <w:i/>
          <w:color w:val="000000"/>
          <w:sz w:val="24"/>
          <w:u w:val="single"/>
        </w:rPr>
        <w:t>the</w:t>
      </w:r>
      <w:r>
        <w:rPr>
          <w:rFonts w:ascii="Times New Roman" w:hAnsi="Times New Roman"/>
          <w:color w:val="000000"/>
          <w:sz w:val="24"/>
          <w:u w:val="single"/>
        </w:rPr>
        <w:t xml:space="preserve"> </w:t>
      </w:r>
      <w:r>
        <w:rPr>
          <w:rFonts w:ascii="Times New Roman" w:hAnsi="Times New Roman"/>
          <w:i/>
          <w:color w:val="000000"/>
          <w:sz w:val="24"/>
          <w:u w:val="single"/>
        </w:rPr>
        <w:t>Seller</w:t>
      </w:r>
      <w:r>
        <w:rPr>
          <w:rFonts w:ascii="Times New Roman" w:hAnsi="Times New Roman"/>
          <w:color w:val="000000"/>
          <w:sz w:val="24"/>
          <w:u w:val="single"/>
        </w:rPr>
        <w:t>)</w:t>
      </w:r>
      <w:r>
        <w:rPr>
          <w:rFonts w:ascii="Times New Roman" w:hAnsi="Times New Roman"/>
          <w:color w:val="000000"/>
          <w:sz w:val="24"/>
        </w:rPr>
        <w:t xml:space="preserve"> to the Master Framework Agreement is not true with respect to any Pool Receivable, the Seller shall be deemed to have received on such day a Collection of such Pool Receivable in full and shall on the second Business Day following knowledge thereof pay the amount of such deemed Collection to a Seller Collection Account (or as otherwise directed by the Administrative Agent at such time) for the benefit of the Purchaser Parties for application pursuant to </w:t>
      </w:r>
      <w:r>
        <w:rPr>
          <w:rFonts w:ascii="Times New Roman" w:hAnsi="Times New Roman"/>
          <w:color w:val="000000"/>
          <w:sz w:val="24"/>
          <w:u w:val="single"/>
        </w:rPr>
        <w:t>Section</w:t>
      </w:r>
      <w:r>
        <w:rPr>
          <w:rFonts w:ascii="Times New Roman" w:hAnsi="Times New Roman"/>
          <w:color w:val="000000"/>
          <w:sz w:val="24"/>
        </w:rPr>
        <w:t xml:space="preserve"> </w:t>
      </w:r>
      <w:r>
        <w:rPr>
          <w:rFonts w:ascii="Times New Roman" w:hAnsi="Times New Roman"/>
          <w:color w:val="000000"/>
          <w:sz w:val="24"/>
          <w:u w:val="single"/>
        </w:rPr>
        <w:t>3.01(a)</w:t>
      </w:r>
      <w:r>
        <w:rPr>
          <w:rFonts w:ascii="Times New Roman" w:hAnsi="Times New Roman"/>
          <w:color w:val="000000"/>
          <w:sz w:val="24"/>
        </w:rPr>
        <w:t xml:space="preserve"> (Collections deemed to have been received pursuant to </w:t>
      </w:r>
      <w:r>
        <w:rPr>
          <w:rFonts w:ascii="Times New Roman" w:hAnsi="Times New Roman"/>
          <w:color w:val="000000"/>
          <w:sz w:val="24"/>
          <w:u w:val="single"/>
        </w:rPr>
        <w:t>Section 3.01(d)</w:t>
      </w:r>
      <w:r>
        <w:rPr>
          <w:rFonts w:ascii="Times New Roman" w:hAnsi="Times New Roman"/>
          <w:color w:val="000000"/>
          <w:sz w:val="24"/>
        </w:rPr>
        <w:t xml:space="preserve"> are hereinafter sometimes referred to as “</w:t>
      </w:r>
      <w:r>
        <w:rPr>
          <w:rFonts w:ascii="Times New Roman" w:hAnsi="Times New Roman"/>
          <w:color w:val="000000"/>
          <w:sz w:val="24"/>
          <w:u w:val="single"/>
        </w:rPr>
        <w:t>Deemed Collections</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(iii) except as provided in </w:t>
      </w:r>
      <w:r>
        <w:rPr>
          <w:rFonts w:ascii="Times New Roman" w:hAnsi="Times New Roman"/>
          <w:color w:val="000000"/>
          <w:sz w:val="24"/>
          <w:u w:val="single"/>
        </w:rPr>
        <w:t>clauses (i)</w:t>
      </w:r>
      <w:r>
        <w:rPr>
          <w:rFonts w:ascii="Times New Roman" w:hAnsi="Times New Roman"/>
          <w:color w:val="000000"/>
          <w:sz w:val="24"/>
        </w:rPr>
        <w:t xml:space="preserve"> or </w:t>
      </w:r>
      <w:r>
        <w:rPr>
          <w:rFonts w:ascii="Times New Roman" w:hAnsi="Times New Roman"/>
          <w:color w:val="000000"/>
          <w:sz w:val="24"/>
          <w:u w:val="single"/>
        </w:rPr>
        <w:t>(ii)</w:t>
      </w:r>
      <w:r>
        <w:rPr>
          <w:rFonts w:ascii="Times New Roman" w:hAnsi="Times New Roman"/>
          <w:color w:val="000000"/>
          <w:sz w:val="24"/>
        </w:rPr>
        <w:t xml:space="preserve"> above or otherwise required by Applicable Law or the relevant Contract, all Collections received from an Obligor of any Receivable shall be applied to the Receivables of such Obligor in the order of the age of such Receivables, starting with the oldest such Receivable, unless such Obligor designates in writing its payment for application to specific Receivables;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 if and to the extent the Administrative Agent, any Purchaser Party, any Affected Person or any Seller Indemnified Party shall be required for any reason to pay over to an Obligor (or any trustee, receiver, custodian or similar official in any Insolvency Proceeding) any amount received by it hereunder, such amount shall be deemed not to have been so received by such Person but rather to have been retained by the Seller and, accordingly, such Person shall have a claim against the Seller for such amount, payable when and to the extent that any distribution from or on behalf of such Obligor is made in respect thereof.</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(e) All amounts due and owing under this </w:t>
      </w:r>
      <w:r>
        <w:rPr>
          <w:rFonts w:ascii="Times New Roman" w:hAnsi="Times New Roman"/>
          <w:color w:val="000000"/>
          <w:sz w:val="24"/>
          <w:u w:val="single"/>
        </w:rPr>
        <w:t>Section 3.01(a)</w:t>
      </w:r>
      <w:r>
        <w:rPr>
          <w:rFonts w:ascii="Times New Roman" w:hAnsi="Times New Roman"/>
          <w:color w:val="000000"/>
          <w:sz w:val="24"/>
        </w:rPr>
        <w:t xml:space="preserve"> shall be repaid in Euros or the relevant Alternative Currency Equivalent in accordance with </w:t>
      </w:r>
      <w:r>
        <w:rPr>
          <w:rFonts w:ascii="Times New Roman" w:hAnsi="Times New Roman"/>
          <w:color w:val="000000"/>
          <w:sz w:val="24"/>
          <w:u w:val="single"/>
        </w:rPr>
        <w:t>Section 1.04,</w:t>
      </w:r>
      <w:r>
        <w:rPr>
          <w:rFonts w:ascii="Times New Roman" w:hAnsi="Times New Roman"/>
          <w:color w:val="000000"/>
          <w:sz w:val="24"/>
        </w:rPr>
        <w:t xml:space="preserve"> provided that (i) any Yield payable pursuant to Section 3.01(a)(ii) and/or any amounts payable pursuant to clause Section 3.01(a)(iv) shall be paid to the relevant Purchaser in the currency of the related Investment and (ii) all Fees shall be payable in the currency specified in the Fee Letter.</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Section 3.02. </w:t>
      </w:r>
      <w:r>
        <w:rPr>
          <w:rFonts w:ascii="Times New Roman" w:hAnsi="Times New Roman"/>
          <w:color w:val="000000"/>
          <w:sz w:val="24"/>
          <w:u w:val="single"/>
        </w:rPr>
        <w:t>Payments and Computations, Etc</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All amounts to be paid by the Seller or the Servicer to the Administrative Agent, any Purchaser Party, any Affected Person or any Seller Indemnified Party hereunder shall be paid no later than 3:00 p.m. (London time) on the day when due in same day funds to the applicable Group Agent’s Account.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Each of the Seller and the Servicer shall, to the extent permitted by Applicable Law, pay interest on any amount not paid or deposited by it when due hereunder, at an interest rate per annum equal to 2.00% </w:t>
      </w:r>
      <w:r>
        <w:rPr>
          <w:rFonts w:ascii="Times New Roman" w:hAnsi="Times New Roman"/>
          <w:color w:val="000000"/>
          <w:sz w:val="24"/>
          <w:u w:val="single"/>
        </w:rPr>
        <w:t>per annum</w:t>
      </w:r>
      <w:r>
        <w:rPr>
          <w:rFonts w:ascii="Times New Roman" w:hAnsi="Times New Roman"/>
          <w:color w:val="000000"/>
          <w:sz w:val="24"/>
        </w:rPr>
        <w:t xml:space="preserve"> above the Base Rate, payable on demand.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(c) All computations of interest under </w:t>
      </w:r>
      <w:r>
        <w:rPr>
          <w:rFonts w:ascii="Times New Roman" w:hAnsi="Times New Roman"/>
          <w:color w:val="000000"/>
          <w:sz w:val="24"/>
          <w:u w:val="single"/>
        </w:rPr>
        <w:t>subsection (b)</w:t>
      </w:r>
      <w:r>
        <w:rPr>
          <w:rFonts w:ascii="Times New Roman" w:hAnsi="Times New Roman"/>
          <w:color w:val="000000"/>
          <w:sz w:val="24"/>
        </w:rPr>
        <w:t xml:space="preserve"> above and all computations of Yield, Fees and other amounts hereunder shall be made on the basis of a year of 360 days (or, in the case of amounts determined by reference to the Base Rate, 365 or 366 days, as applicable) for the actual number of days (including the first but excluding the last day) elapsed. Whenever any payment or deposit to be made hereunder shall be due on a day other than a Business Day, such payment or deposit shall be made on the next succeeding Business Day and such extension of time shall be included in the computation of such payment or deposit.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 In making the distributions and payments out of Collections hereunder and in setting aside and reserving Collections for future distributions and payments hereunder, the Servicer shall, to the extent Collections are available therefor and subject to any applicable priorities of payment set forth herein, (i) first, apply Collections received in a particular currency to amounts distributable or payable in such currency, and (ii) second, to the extent that Collections received in a particular currency are not sufficient to distribute, pay, set aside or reserve for amounts distributable or payable in such currency, apply any excess Collections received in another currency to such distribution or payment.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 Subject to Section 3.01(e), on any day when any computation or calculation hereunder requires the aggregation of amounts denominated in more than one currency, all amounts that are denominated in any currency (other than Euros) shall be converted to the Euro Equivalent thereof on such day.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 Subject to Section 3.01(e), if on any Settlement Date or any other day a payment is due and payable hereunder it is necessary for funds in one currency to be converted into any other currency in order to make any payment or distribution required to be made hereunder, the Seller (or the Servicer on its behalf) shall solicit offer quotations from at least two (2) foreign exchange dealers reasonably acceptable to the Administrative Agent for effecting such exchange and shall select the quotation which provides for the best exchange rate. The Seller (or the Servicer on its behalf) shall effect such exchange on such Settlement Date or other day, as the case may be. Notwithstanding the foregoing, if the Administrative Agent has obtained exclusive control of the Seller Collection Accounts and/or the Collection Accounts or if an Event of Termination has occurred and is continuing, the Administrative Agent shall have the right to convert Collections denominated in any currency in order to make such payments of distributions due in another currency in accordance with the Administrative Agent’s customary practices for currency conversions. Any loss, cost or expense incurred in connection with any such conversion shall be for the account of the Seller.</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IV</w:t>
      </w:r>
    </w:p>
    <w:p>
      <w:pPr>
        <w:pStyle w:val="TextBody"/>
        <w:bidi w:val="0"/>
        <w:spacing w:before="240" w:after="283"/>
        <w:jc w:val="center"/>
        <w:rPr>
          <w:rFonts w:ascii="Times New Roman" w:hAnsi="Times New Roman"/>
          <w:sz w:val="24"/>
        </w:rPr>
      </w:pPr>
      <w:r>
        <w:rPr>
          <w:rFonts w:ascii="Times New Roman" w:hAnsi="Times New Roman"/>
          <w:b/>
          <w:color w:val="000000"/>
          <w:sz w:val="24"/>
        </w:rPr>
        <w:t>INCREASED</w:t>
      </w:r>
      <w:r>
        <w:rPr>
          <w:rFonts w:ascii="Times New Roman" w:hAnsi="Times New Roman"/>
          <w:color w:val="000000"/>
          <w:sz w:val="24"/>
        </w:rPr>
        <w:t xml:space="preserve"> </w:t>
      </w:r>
      <w:r>
        <w:rPr>
          <w:rFonts w:ascii="Times New Roman" w:hAnsi="Times New Roman"/>
          <w:b/>
          <w:color w:val="000000"/>
          <w:sz w:val="24"/>
        </w:rPr>
        <w:t>COSTS;</w:t>
      </w:r>
      <w:r>
        <w:rPr>
          <w:rFonts w:ascii="Times New Roman" w:hAnsi="Times New Roman"/>
          <w:color w:val="000000"/>
          <w:sz w:val="24"/>
        </w:rPr>
        <w:t xml:space="preserve"> </w:t>
      </w:r>
      <w:r>
        <w:rPr>
          <w:rFonts w:ascii="Times New Roman" w:hAnsi="Times New Roman"/>
          <w:b/>
          <w:color w:val="000000"/>
          <w:sz w:val="24"/>
        </w:rPr>
        <w:t>FUNDING</w:t>
      </w:r>
      <w:r>
        <w:rPr>
          <w:rFonts w:ascii="Times New Roman" w:hAnsi="Times New Roman"/>
          <w:color w:val="000000"/>
          <w:sz w:val="24"/>
        </w:rPr>
        <w:t xml:space="preserve"> </w:t>
      </w:r>
      <w:r>
        <w:rPr>
          <w:rFonts w:ascii="Times New Roman" w:hAnsi="Times New Roman"/>
          <w:b/>
          <w:color w:val="000000"/>
          <w:sz w:val="24"/>
        </w:rPr>
        <w:t>LOSSES;</w:t>
      </w:r>
      <w:r>
        <w:rPr>
          <w:rFonts w:ascii="Times New Roman" w:hAnsi="Times New Roman"/>
          <w:color w:val="000000"/>
          <w:sz w:val="24"/>
        </w:rPr>
        <w:t xml:space="preserve"> </w:t>
      </w:r>
      <w:r>
        <w:rPr>
          <w:rFonts w:ascii="Times New Roman" w:hAnsi="Times New Roman"/>
          <w:b/>
          <w:color w:val="000000"/>
          <w:sz w:val="24"/>
        </w:rPr>
        <w:t>TAXES;</w:t>
      </w:r>
      <w:r>
        <w:rPr>
          <w:rFonts w:ascii="Times New Roman" w:hAnsi="Times New Roman"/>
          <w:color w:val="000000"/>
          <w:sz w:val="24"/>
        </w:rPr>
        <w:t xml:space="preserve"> </w:t>
      </w:r>
      <w:r>
        <w:rPr>
          <w:rFonts w:ascii="Times New Roman" w:hAnsi="Times New Roman"/>
          <w:b/>
          <w:color w:val="000000"/>
          <w:sz w:val="24"/>
        </w:rPr>
        <w:t>ILLEGALITY</w:t>
      </w:r>
      <w:r>
        <w:rPr>
          <w:rFonts w:ascii="Times New Roman" w:hAnsi="Times New Roman"/>
          <w:color w:val="000000"/>
          <w:sz w:val="24"/>
        </w:rPr>
        <w:t xml:space="preserve"> </w:t>
      </w:r>
      <w:r>
        <w:rPr>
          <w:rFonts w:ascii="Times New Roman" w:hAnsi="Times New Roman"/>
          <w:b/>
          <w:color w:val="000000"/>
          <w:sz w:val="24"/>
        </w:rPr>
        <w:t>AND</w:t>
      </w:r>
      <w:r>
        <w:rPr>
          <w:rFonts w:ascii="Times New Roman" w:hAnsi="Times New Roman"/>
          <w:color w:val="000000"/>
          <w:sz w:val="24"/>
        </w:rPr>
        <w:t xml:space="preserve"> </w:t>
      </w:r>
      <w:r>
        <w:rPr>
          <w:rFonts w:ascii="Times New Roman" w:hAnsi="Times New Roman"/>
          <w:b/>
          <w:color w:val="000000"/>
          <w:sz w:val="24"/>
        </w:rPr>
        <w:t>BACK-UP SECURITY INTEREST</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Section 4.01. </w:t>
      </w:r>
      <w:r>
        <w:rPr>
          <w:rFonts w:ascii="Times New Roman" w:hAnsi="Times New Roman"/>
          <w:color w:val="000000"/>
          <w:sz w:val="24"/>
          <w:u w:val="single"/>
        </w:rPr>
        <w:t>Increased Costs</w:t>
      </w:r>
      <w:r>
        <w:rPr>
          <w:rFonts w:ascii="Times New Roman" w:hAnsi="Times New Roman"/>
          <w:color w:val="000000"/>
          <w:sz w:val="24"/>
        </w:rPr>
        <w:t>.</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Increased Costs Generally</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If any Change in Law shall: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impose, modify or deem applicable any reserve, special deposit, liquidity, compulsory loan, insurance charge or similar requirement against assets of, deposits with or for the account of, or credit extended or participated in by, any Affected Person;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subject any Affected Person to any Taxes (except to the extent such Taxes are Indemnified Taxes or Excluded Taxes) on its loans, loan principal, letters of credit, commitments, or value of Receivables or other obligations, or its deposits, reserves, other liabilities or capital attributable thereto;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impose on any Affected Person any other condition, cost or expense (other than Taxes) (A) affecting the Sold Assets, the Seller Collateral, this Agreement, any other Transaction Document, any Program Support Agreement, any Capital or any participation therein or (B) affecting its obligations or rights to make Investments or fund or maintain Capital,</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and the result of any of the foregoing shall be to increase the cost to such Affected Person of (A) acting as the Administrative Agent, a Group Agent or a Purchaser hereunder or as a Program Support Provider with respect to the transactions contemplated hereby, (B) making any Investment or funding or maintaining any Capital (or any portion thereof or (C) maintaining its obligation to make any Investment or to fund or maintain any Capital (or any portion thereof), or to reduce the amount of any sum received or receivable by such Affected Person hereunder, then, upon request of such Affected Person (or its Group Agent), the Seller shall pay to such Affected Person such additional amount or amounts as will compensate such Affected Person for such additional costs incurred or reduction suffered.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Capital and Liquidity Requirements</w:t>
      </w:r>
      <w:r>
        <w:rPr>
          <w:rFonts w:ascii="Times New Roman" w:hAnsi="Times New Roman"/>
          <w:i/>
          <w:color w:val="000000"/>
          <w:sz w:val="24"/>
        </w:rPr>
        <w:t>.</w:t>
      </w:r>
      <w:r>
        <w:rPr>
          <w:rFonts w:ascii="Times New Roman" w:hAnsi="Times New Roman"/>
          <w:color w:val="000000"/>
          <w:sz w:val="24"/>
        </w:rPr>
        <w:t xml:space="preserve"> If any Affected Person determines that any Change in Law affecting such Affected Person or any lending office of such Affected Person or such Affected Person’s holding company, if any, regarding capital or liquidity requirements, has or would have the effect of (x) increasing the amount of capital required to be maintained by such Affected Person or Affected Person’s holding company, if any, (y) reducing the rate of return on such Affected Person’s capital or on the capital of such Affected Person’s holding company, if any, or (z) causing an internal capital or liquidity charge or other imputed cost to be assessed upon such Affected Person or Affected Person’s holding company, if any, in each case, as a consequence of (A) this Agreement or any other Transaction Document, (B) the commitments of such Affected Person hereunder or under any other Transaction Document or any related Program Support Agreement, (C) the Investments made by such Affected Person, or (D) any Capital (or portion thereof), to a level below that which such Affected Person or such Affected Person’s holding company could have achieved but for such Change in Law (taking into consideration such Affected Person’s policies and the policies of such Affected Person’s holding company with respect to capital adequacy and liquidity), then from time to time, upon request of such Affected Person (or its Group Agent), the Seller will pay to such Affected Person such additional amount or amounts as will compensate such Affected Person or such Affected Person’s holding company for any such increase, reduction or charge.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Adoption of Changes in Law</w:t>
      </w:r>
      <w:r>
        <w:rPr>
          <w:rFonts w:ascii="Times New Roman" w:hAnsi="Times New Roman"/>
          <w:color w:val="000000"/>
          <w:sz w:val="24"/>
        </w:rPr>
        <w:t xml:space="preserve">. The Seller acknowledges that any Affected Person may institute measures in anticipation of a Change in Law (including, without limitation, the imposition of internal charges on such Affected Person’s interests or obligations under any Transaction Document or Program Support Agreement), and may commence allocating charges to or seeking compensation from the Seller under this </w:t>
      </w:r>
      <w:r>
        <w:rPr>
          <w:rFonts w:ascii="Times New Roman" w:hAnsi="Times New Roman"/>
          <w:color w:val="000000"/>
          <w:sz w:val="24"/>
          <w:u w:val="single"/>
        </w:rPr>
        <w:t>Section 4.01</w:t>
      </w:r>
      <w:r>
        <w:rPr>
          <w:rFonts w:ascii="Times New Roman" w:hAnsi="Times New Roman"/>
          <w:color w:val="000000"/>
          <w:sz w:val="24"/>
        </w:rPr>
        <w:t xml:space="preserve"> in connection with such measures, in advance of the effective date of such Change in Law, and the Seller agrees to pay such charges or compensation to such Affected Person, following demand therefor in accordance with the terms of this </w:t>
      </w:r>
      <w:r>
        <w:rPr>
          <w:rFonts w:ascii="Times New Roman" w:hAnsi="Times New Roman"/>
          <w:color w:val="000000"/>
          <w:sz w:val="24"/>
          <w:u w:val="single"/>
        </w:rPr>
        <w:t>Section 4.01</w:t>
      </w:r>
      <w:r>
        <w:rPr>
          <w:rFonts w:ascii="Times New Roman" w:hAnsi="Times New Roman"/>
          <w:color w:val="000000"/>
          <w:sz w:val="24"/>
        </w:rPr>
        <w:t>, without regard to whether such effective date has occurred.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(d) </w:t>
      </w:r>
      <w:r>
        <w:rPr>
          <w:rFonts w:ascii="Times New Roman" w:hAnsi="Times New Roman"/>
          <w:color w:val="000000"/>
          <w:sz w:val="24"/>
          <w:u w:val="single"/>
        </w:rPr>
        <w:t>Certificates for Reimbursement</w:t>
      </w:r>
      <w:r>
        <w:rPr>
          <w:rFonts w:ascii="Times New Roman" w:hAnsi="Times New Roman"/>
          <w:color w:val="000000"/>
          <w:sz w:val="24"/>
        </w:rPr>
        <w:t xml:space="preserve">. A certificate of an Affected Person (or its Group Agent on its behalf) setting forth the amount or amounts necessary to compensate such Affected Person or its holding company, as the case may be, as specified in </w:t>
      </w:r>
      <w:r>
        <w:rPr>
          <w:rFonts w:ascii="Times New Roman" w:hAnsi="Times New Roman"/>
          <w:color w:val="000000"/>
          <w:sz w:val="24"/>
          <w:u w:val="single"/>
        </w:rPr>
        <w:t>clause (a)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4"/>
        </w:rPr>
        <w:t xml:space="preserve"> or </w:t>
      </w:r>
      <w:r>
        <w:rPr>
          <w:rFonts w:ascii="Times New Roman" w:hAnsi="Times New Roman"/>
          <w:color w:val="000000"/>
          <w:sz w:val="24"/>
          <w:u w:val="single"/>
        </w:rPr>
        <w:t>(c)</w:t>
      </w:r>
      <w:r>
        <w:rPr>
          <w:rFonts w:ascii="Times New Roman" w:hAnsi="Times New Roman"/>
          <w:color w:val="000000"/>
          <w:sz w:val="24"/>
        </w:rPr>
        <w:t xml:space="preserve"> of this Section and delivered to the Seller, shall be conclusive absent manifest error. The Seller shall, subject to the priorities of payment set forth in </w:t>
      </w:r>
      <w:r>
        <w:rPr>
          <w:rFonts w:ascii="Times New Roman" w:hAnsi="Times New Roman"/>
          <w:color w:val="000000"/>
          <w:sz w:val="24"/>
          <w:u w:val="single"/>
        </w:rPr>
        <w:t>Section 3.01</w:t>
      </w:r>
      <w:r>
        <w:rPr>
          <w:rFonts w:ascii="Times New Roman" w:hAnsi="Times New Roman"/>
          <w:color w:val="000000"/>
          <w:sz w:val="24"/>
        </w:rPr>
        <w:t>, pay such Affected Person the amount shown as due on any such certificate on the first Settlement Date occurring at least ten (10) days after the Seller’s receipt of such certificate.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(e) </w:t>
      </w:r>
      <w:r>
        <w:rPr>
          <w:rFonts w:ascii="Times New Roman" w:hAnsi="Times New Roman"/>
          <w:color w:val="000000"/>
          <w:sz w:val="24"/>
          <w:u w:val="single"/>
        </w:rPr>
        <w:t>Delay in Requests</w:t>
      </w:r>
      <w:r>
        <w:rPr>
          <w:rFonts w:ascii="Times New Roman" w:hAnsi="Times New Roman"/>
          <w:color w:val="000000"/>
          <w:sz w:val="24"/>
        </w:rPr>
        <w:t xml:space="preserve">. Failure or delay on the part of any Affected Person to demand compensation pursuant to this Section shall not constitute a waiver of such Affected Person’s right to demand such compensation; </w:t>
      </w:r>
      <w:r>
        <w:rPr>
          <w:rFonts w:ascii="Times New Roman" w:hAnsi="Times New Roman"/>
          <w:color w:val="000000"/>
          <w:sz w:val="24"/>
          <w:u w:val="single"/>
        </w:rPr>
        <w:t>provided</w:t>
      </w:r>
      <w:r>
        <w:rPr>
          <w:rFonts w:ascii="Times New Roman" w:hAnsi="Times New Roman"/>
          <w:color w:val="000000"/>
          <w:sz w:val="24"/>
        </w:rPr>
        <w:t xml:space="preserve"> that the Seller shall not be required to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compensate an Affected Person pursuant to this Section for any increased costs incurred or reductions suffered more than one hundred eighty (180) days prior to the date that such Affected Person notifies the Seller of the Change in Law giving rise to such increased costs or reductions and of such Affected Person’s intention to claim compensation therefor (except that, if the Change in Law giving rise to such increased costs or reductions is retroactive, then the one hundred eighty (180) days period referred to above shall be extended to include the period of retroactive effect thereof).</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4.02. </w:t>
      </w:r>
      <w:r>
        <w:rPr>
          <w:rFonts w:ascii="Times New Roman" w:hAnsi="Times New Roman"/>
          <w:color w:val="000000"/>
          <w:sz w:val="24"/>
          <w:u w:val="single"/>
        </w:rPr>
        <w:t>Funding Losses</w:t>
      </w:r>
      <w:r>
        <w:rPr>
          <w:rFonts w:ascii="Times New Roman" w:hAnsi="Times New Roman"/>
          <w:color w:val="000000"/>
          <w:sz w:val="24"/>
        </w:rPr>
        <w:t xml:space="preserve">. In addition to the compensation or payments required by </w:t>
      </w:r>
      <w:r>
        <w:rPr>
          <w:rFonts w:ascii="Times New Roman" w:hAnsi="Times New Roman"/>
          <w:color w:val="000000"/>
          <w:sz w:val="24"/>
          <w:u w:val="single"/>
        </w:rPr>
        <w:t>Section 4.01</w:t>
      </w:r>
      <w:r>
        <w:rPr>
          <w:rFonts w:ascii="Times New Roman" w:hAnsi="Times New Roman"/>
          <w:color w:val="000000"/>
          <w:sz w:val="24"/>
        </w:rPr>
        <w:t xml:space="preserve"> or </w:t>
      </w:r>
      <w:r>
        <w:rPr>
          <w:rFonts w:ascii="Times New Roman" w:hAnsi="Times New Roman"/>
          <w:color w:val="000000"/>
          <w:sz w:val="24"/>
          <w:u w:val="single"/>
        </w:rPr>
        <w:t>Section 4.03</w:t>
      </w:r>
      <w:r>
        <w:rPr>
          <w:rFonts w:ascii="Times New Roman" w:hAnsi="Times New Roman"/>
          <w:color w:val="000000"/>
          <w:sz w:val="24"/>
        </w:rPr>
        <w:t xml:space="preserve"> the Seller shall indemnify each Purchaser against all liabilities, losses or expenses (including loss of anticipated profits, any foreign exchange losses and any loss or expense arising from the liquidation or reemployment of funds obtained by it to maintain any Capital, from fees payable to terminate the deposits from which such funds were obtained or from the performance of any foreign exchange contract) which such Purchaser sustains or incurs as a consequence of 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payment, prepayment or renewal of any Capital to which the Relevant Rate applies on a day other than a Monthly Settlement Date (whether or not such payment or prepayment is mandatory, voluntary, or automatic and whether or not any such payment or prepayment is then due);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attempt by the Seller to revoke (expressly, by later inconsistent notices or otherwise) in whole or part any Investment Request or notice relating to prepayments under </w:t>
      </w:r>
      <w:r>
        <w:rPr>
          <w:rFonts w:ascii="Times New Roman" w:hAnsi="Times New Roman"/>
          <w:color w:val="000000"/>
          <w:sz w:val="24"/>
          <w:u w:val="single"/>
        </w:rPr>
        <w:t>Section 2.02(e)</w:t>
      </w:r>
      <w:r>
        <w:rPr>
          <w:rFonts w:ascii="Times New Roman" w:hAnsi="Times New Roman"/>
          <w:color w:val="000000"/>
          <w:sz w:val="24"/>
        </w:rPr>
        <w:t xml:space="preserve"> or failure by the Seller (for a reason other than the failure of such Purchaser to fund an Investment) to prepay, borrow, continue or convert any Capital on the date or in the amount notified by the Seller;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any assignment of Capital then accruing Yield based on the Relevant Rate on a day other than the last day of the Yield Period therefor.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any Purchaser sustains or incurs any such loss or expense, it shall from time to time notify the Seller of the amount determined in good faith by such Purchaser (which determination may include such assumptions, allocations of costs and expenses and averaging or attribution methods as such Purchaser shall deem reasonable) to be necessary to indemnify such Purchaser for such loss or expense. Such notice shall specify in reasonable detail the basis for such determination. Such amount shall be due and payable by the Seller to such Purchaser on the first Settlement Date occurring after such notice is given or, if such amount is payable due to clause (a) or (c) above, then on the date of such payment, prepayment, renewal or assignment so long as such notice has been given on or prior to such date.</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Section 4.03. </w:t>
      </w:r>
      <w:r>
        <w:rPr>
          <w:rFonts w:ascii="Times New Roman" w:hAnsi="Times New Roman"/>
          <w:color w:val="000000"/>
          <w:sz w:val="24"/>
          <w:u w:val="single"/>
        </w:rPr>
        <w:t>Taxes</w:t>
      </w:r>
      <w:r>
        <w:rPr>
          <w:rFonts w:ascii="Times New Roman" w:hAnsi="Times New Roman"/>
          <w:color w:val="000000"/>
          <w:sz w:val="24"/>
        </w:rPr>
        <w: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Payments Free of Taxes</w:t>
      </w:r>
      <w:r>
        <w:rPr>
          <w:rFonts w:ascii="Times New Roman" w:hAnsi="Times New Roman"/>
          <w:color w:val="000000"/>
          <w:sz w:val="24"/>
        </w:rPr>
        <w:t xml:space="preserve">. Any and all payments by or on account of any obligation of the Seller and its Affiliates under any Transaction Document shall be made without deduction or withholding for any Taxes, except as required by Applicable Law. If any Applicable Law (as determined in the good faith discretion of the applicable withholding agent requires the deduction or withholding of any Tax from any such payment to a Purchaser Party, Affected Person or Seller Indemnified Party,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Seller and/or such Affiliate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shall be increased as necessary so that after such deduction or withholding has been made (including such deductions and withholdings applicable to additional sums payable under this Section), the applicable Purchaser Party, Affected Person or Seller Indemnified Party receives an amount equal to the sum it would have received had no such deduction or withholding been made.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Payment of Other Taxes by the Seller</w:t>
      </w:r>
      <w:r>
        <w:rPr>
          <w:rFonts w:ascii="Times New Roman" w:hAnsi="Times New Roman"/>
          <w:color w:val="000000"/>
          <w:sz w:val="24"/>
        </w:rPr>
        <w:t>. The Seller shall timely pay to the relevant Governmental Authority in accordance with Applicable Law, or, at the option of the Administrative Agent, timely reimburse it for the payment of, any Other Taxes.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Indemnification by the Seller</w:t>
      </w:r>
      <w:r>
        <w:rPr>
          <w:rFonts w:ascii="Times New Roman" w:hAnsi="Times New Roman"/>
          <w:color w:val="000000"/>
          <w:sz w:val="24"/>
        </w:rPr>
        <w:t xml:space="preserve">. The Seller shall indemnify each Affected Person, within ten days after demand therefor, for the full amount of any Indemnified Taxes (including Indemnified Taxes imposed or asserted on or attributable to amounts payable under this Section) payable or paid by such Affected Person or required to be withheld or deducted from a payment to such Affected Person and any penalties, interest and reasonable expenses arising therefrom or with respect thereto, whether or not such Indemnified Taxes were correctly or legally imposed or asserted by the relevant Governmental Authority. Promptly upon having knowledge that any such Indemnified Taxes have been levied, imposed or assessed, and promptly upon notice by the Administrative Agent or any Affected Person (or its related Group Agent), the Seller shall pay such Indemnified Taxes directly to the relevant taxing authority or Governmental Authority (or to the Administrative Agent or such Affected Person if such Taxes have already been paid to the relevant taxing authority or Governmental Authority); </w:t>
      </w:r>
      <w:r>
        <w:rPr>
          <w:rFonts w:ascii="Times New Roman" w:hAnsi="Times New Roman"/>
          <w:color w:val="000000"/>
          <w:sz w:val="24"/>
          <w:u w:val="single"/>
        </w:rPr>
        <w:t>provided</w:t>
      </w:r>
      <w:r>
        <w:rPr>
          <w:rFonts w:ascii="Times New Roman" w:hAnsi="Times New Roman"/>
          <w:color w:val="000000"/>
          <w:sz w:val="24"/>
        </w:rPr>
        <w:t xml:space="preserve"> that neither the Administrative Agent nor any Affected Person shall be under any obligation to provide any such notice to the Seller. A certificate as to the amount of such payment or liability delivered to the Seller by an Affected Person (with a copy to the Administrative Agent), or by the Administrative Agent on its own behalf or on behalf of an Affected Person, shall be conclusive absent manifest error.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(d) </w:t>
      </w:r>
      <w:r>
        <w:rPr>
          <w:rFonts w:ascii="Times New Roman" w:hAnsi="Times New Roman"/>
          <w:color w:val="000000"/>
          <w:sz w:val="24"/>
          <w:u w:val="single"/>
        </w:rPr>
        <w:t>Indemnification by the Purchasers</w:t>
      </w:r>
      <w:r>
        <w:rPr>
          <w:rFonts w:ascii="Times New Roman" w:hAnsi="Times New Roman"/>
          <w:color w:val="000000"/>
          <w:sz w:val="24"/>
        </w:rPr>
        <w:t xml:space="preserve">. Each Purchaser shall severally indemnify the Administrative Agent, within ten days after demand therefor, for (i) any Indemnified Taxes attributable to such Purchaser, its Related Conduit Purchaser or any of their respective Affiliates that are Affected Persons (but only to the extent that the Seller and its Affiliates have not already indemnified the Administrative Agent for such Indemnified Taxes and without limiting any obligation of the Seller, the Servicer or their Affiliates to do so) and (ii) any Excluded Taxes attributable to such Purchaser, its Related Conduit Purchaser or any of their respective Affiliates that are Affected Persons, in each case, that are payable or paid by the Administrative Agent in connection with any Transaction Document, and any reasonable expenses arising therefrom or with respect thereto, whether or not such Taxes were correctly or legally imposed or asserted by the relevant Governmental Authority. A certificate as to the amount of such payment or liability delivered to any Purchaser (or its Group Agent) by the Administrative Agent shall be conclusive absent manifest error. Each Purchaser hereby authorizes the Administrative Agent to set off and apply any and all amounts at any time owing to such Purchaser, its Related Conduit Purchaser or any of their respective Affiliates that are Affected Persons under any Transaction Document or otherwise payable by the Administrative Agent to such Purchaser, its Related Conduit Purchaser or any of their respective Affiliates that are Affected Persons from any other source against any amount due to the Administrative Agent under this </w:t>
      </w:r>
      <w:r>
        <w:rPr>
          <w:rFonts w:ascii="Times New Roman" w:hAnsi="Times New Roman"/>
          <w:color w:val="000000"/>
          <w:sz w:val="24"/>
          <w:u w:val="single"/>
        </w:rPr>
        <w:t>clause (d)</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(e) </w:t>
      </w:r>
      <w:r>
        <w:rPr>
          <w:rFonts w:ascii="Times New Roman" w:hAnsi="Times New Roman"/>
          <w:color w:val="000000"/>
          <w:sz w:val="24"/>
          <w:u w:val="single"/>
        </w:rPr>
        <w:t>Evidence of Payments</w:t>
      </w:r>
      <w:r>
        <w:rPr>
          <w:rFonts w:ascii="Times New Roman" w:hAnsi="Times New Roman"/>
          <w:color w:val="000000"/>
          <w:sz w:val="24"/>
        </w:rPr>
        <w:t xml:space="preserve">. As soon as practicable after any payment of Taxes by the Seller to a Governmental Authority pursuant to this </w:t>
      </w:r>
      <w:r>
        <w:rPr>
          <w:rFonts w:ascii="Times New Roman" w:hAnsi="Times New Roman"/>
          <w:color w:val="000000"/>
          <w:sz w:val="24"/>
          <w:u w:val="single"/>
        </w:rPr>
        <w:t>Section 4.03</w:t>
      </w:r>
      <w:r>
        <w:rPr>
          <w:rFonts w:ascii="Times New Roman" w:hAnsi="Times New Roman"/>
          <w:color w:val="000000"/>
          <w:sz w:val="24"/>
        </w:rPr>
        <w:t>, the Seller shall deliver to the Administrative Agent evidence of such payment reasonably satisfactory to the Administrative Agent.</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(f) </w:t>
      </w:r>
      <w:r>
        <w:rPr>
          <w:rFonts w:ascii="Times New Roman" w:hAnsi="Times New Roman"/>
          <w:color w:val="000000"/>
          <w:sz w:val="24"/>
          <w:u w:val="single"/>
        </w:rPr>
        <w:t>Status of Affected Persons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Each Affected Person (that is entitled to any Yield or interest payments pursuant to the Transaction Documents) which becomes a party to this Agreement on the day on which this Agreement is entered into confirms that, on such date, it is a Qualifying Person and will notify the Seller and Administrative Agent promptly in the event it ceases to be a Qualifying Person.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Each Affected Person (that is entitled to any Yield or interest payments pursuant to the Transaction Documents) which becomes a party to this Agreement after the date of this Agreement (if any) shall indicate in writing to the Seller and Administrative Agent whether or not it is a Qualifying Person (and shall be treated as if it is not a Qualifying Person until it notifies the Seller and Administrative Agent which category applies).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(iii) Notwithstanding clause (f) above, any Affected Person that is entitled to an exemption from or reduction of withholding Tax with respect to payments made under any Transaction Document shall deliver to the Seller and the Administrative Agent, at the time or times reasonably requested by the Seller or the Administrative Agent, such properly completed and executed documentation reasonably requested by the Seller or the Administrative Agent as will permit such payments to be made without withholding or at a reduced rate of withholding. In addition, any Affected Person, if reasonably requested by the Seller or the Administrative Agent, shall deliver such other documentation prescribed by Applicable Law or reasonably requested by the Seller or the Administrative Agent as will enable the Seller or the Administrative Agent to determine whether or not such Affected Person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hAnsi="Times New Roman"/>
          <w:color w:val="000000"/>
          <w:sz w:val="24"/>
          <w:u w:val="single"/>
        </w:rPr>
        <w:t>Section 4.03(f)(ii)(A)</w:t>
      </w:r>
      <w:r>
        <w:rPr>
          <w:rFonts w:ascii="Times New Roman" w:hAnsi="Times New Roman"/>
          <w:color w:val="000000"/>
          <w:sz w:val="24"/>
        </w:rPr>
        <w:t xml:space="preserve">, </w:t>
      </w:r>
      <w:r>
        <w:rPr>
          <w:rFonts w:ascii="Times New Roman" w:hAnsi="Times New Roman"/>
          <w:color w:val="000000"/>
          <w:sz w:val="24"/>
          <w:u w:val="single"/>
        </w:rPr>
        <w:t>Section 4.03(f)(ii)(B</w:t>
      </w:r>
      <w:r>
        <w:rPr>
          <w:rFonts w:ascii="Times New Roman" w:hAnsi="Times New Roman"/>
          <w:color w:val="000000"/>
          <w:sz w:val="24"/>
        </w:rPr>
        <w:t xml:space="preserve">) and </w:t>
      </w:r>
      <w:r>
        <w:rPr>
          <w:rFonts w:ascii="Times New Roman" w:hAnsi="Times New Roman"/>
          <w:color w:val="000000"/>
          <w:sz w:val="24"/>
          <w:u w:val="single"/>
        </w:rPr>
        <w:t>Section</w:t>
      </w:r>
      <w:r>
        <w:rPr>
          <w:rFonts w:ascii="Times New Roman" w:hAnsi="Times New Roman"/>
          <w:color w:val="000000"/>
          <w:sz w:val="24"/>
        </w:rPr>
        <w:t xml:space="preserve"> </w:t>
      </w:r>
      <w:r>
        <w:rPr>
          <w:rFonts w:ascii="Times New Roman" w:hAnsi="Times New Roman"/>
          <w:color w:val="000000"/>
          <w:sz w:val="24"/>
          <w:u w:val="single"/>
        </w:rPr>
        <w:t>4.03(g)</w:t>
      </w:r>
      <w:r>
        <w:rPr>
          <w:rFonts w:ascii="Times New Roman" w:hAnsi="Times New Roman"/>
          <w:color w:val="000000"/>
          <w:sz w:val="24"/>
        </w:rPr>
        <w:t>) shall not be required if, in the Affected Person’s reasonable judgment, such completion, execution or submission would subject such Affected Person to any material unreimbursed cost or expense or would materially prejudice the legal or commercial position of such Affected Person.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 Without limiting the generality of the foregoing, in the event a payment by or on account of any obligation of the Seller or any of its Affiliates under any Transaction Document would be subject to U.S. withholding Tax:</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an Affected Person that is a U.S. Person shall deliver to the Seller and the Administrative Agent from time to time upon the reasonable request of the Seller or the Administrative Agent, executed copies of Internal Revenue Service Form W-9 certifying that such Affected Person is exempt from U.S. federal backup withholding tax;</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any Affected Person that is not a U.S. Person shall, to the extent it is legally entitled to do so, deliver to the Seller and the Administrative Agent (in such number of copies as shall be requested by the Affected Person) from time to time upon the reasonable request of the Seller or the Administrative Agent, whichever of the following is applicable: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 in the case of such an Affected Person claiming the benefits of an income tax treaty to which the United States is a party, (x) with respect to payments of interest under any Transaction Document, executed copies of Internal Revenue Service Form W-8BEN or Internal Revenue Service Form W-8BEN-E, as applicable, establishing an exemption from, or reduction of, U.S. federal withholding Tax pursuant to the “interest” article of such tax treaty and (y) with respect to any other applicable payments under any Transaction Document, Internal Revenue Service Form W-8BEN or Internal Revenue Service Form W-8BEN-E, as applicable, establishing an exemption from, or reduction of, U.S. federal withholding Tax pursuant to the “business profits” or “other income” article of such tax treaty;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 executed copies of Internal Revenue Service Form W-8ECI;</w:t>
      </w:r>
    </w:p>
    <w:p>
      <w:pPr>
        <w:pStyle w:val="TextBody"/>
        <w:bidi w:val="0"/>
        <w:spacing w:before="240" w:after="283"/>
        <w:jc w:val="both"/>
        <w:rPr>
          <w:rFonts w:ascii="Times New Roman" w:hAnsi="Times New Roman"/>
          <w:sz w:val="24"/>
        </w:rPr>
      </w:pPr>
      <w:r>
        <w:rPr>
          <w:rFonts w:ascii="Times New Roman" w:hAnsi="Times New Roman"/>
          <w:color w:val="000000"/>
          <w:sz w:val="24"/>
        </w:rPr>
        <w:t>(3) in the case of such an Affected Person claiming the benefits of the exemption for portfolio interest under Section 881 (c) of the Code, (x) a certificate to the effect that such Affected Person is not a “bank” within the meaning of Section 881(c)(3)(A) of the Code, a “10 percent shareholder” of the Seller within the meaning of Section 881(c)(3)(B) of the Code, or a “controlled foreign corporation” related to the Seller as described in Section 881(c)(3)(C) of the Code (a “</w:t>
      </w:r>
      <w:r>
        <w:rPr>
          <w:rFonts w:ascii="Times New Roman" w:hAnsi="Times New Roman"/>
          <w:color w:val="000000"/>
          <w:sz w:val="24"/>
          <w:u w:val="single"/>
        </w:rPr>
        <w:t>U.S. Tax</w:t>
      </w:r>
      <w:r>
        <w:rPr>
          <w:rFonts w:ascii="Times New Roman" w:hAnsi="Times New Roman"/>
          <w:color w:val="000000"/>
          <w:sz w:val="24"/>
        </w:rPr>
        <w:t xml:space="preserve"> </w:t>
      </w:r>
      <w:r>
        <w:rPr>
          <w:rFonts w:ascii="Times New Roman" w:hAnsi="Times New Roman"/>
          <w:color w:val="000000"/>
          <w:sz w:val="24"/>
          <w:u w:val="single"/>
        </w:rPr>
        <w:t>Compliance Certificate</w:t>
      </w:r>
      <w:r>
        <w:rPr>
          <w:rFonts w:ascii="Times New Roman" w:hAnsi="Times New Roman"/>
          <w:color w:val="000000"/>
          <w:sz w:val="24"/>
        </w:rPr>
        <w:t>”) and (y) executed copies of Internal Revenue Service Form W-8BEN or Internal Revenue Service Form W-8BEN-E, as applicable; or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(4) to the extent such Affected Person is not the beneficial owner, executed copies of Internal Revenue Service Form W-8IMY, accompanied by Internal Revenue Service Form W-8ECI, Internal Revenue Service Form W-8BEN or Internal Revenue Service Form W-8BEN-E, as applicable, a U.S. Tax Compliance Certificate, Internal Revenue Service Form W-9, and/or other certification documents from each beneficial owner, as applicable; </w:t>
      </w:r>
      <w:r>
        <w:rPr>
          <w:rFonts w:ascii="Times New Roman" w:hAnsi="Times New Roman"/>
          <w:color w:val="000000"/>
          <w:sz w:val="24"/>
          <w:u w:val="single"/>
        </w:rPr>
        <w:t>provided</w:t>
      </w:r>
      <w:r>
        <w:rPr>
          <w:rFonts w:ascii="Times New Roman" w:hAnsi="Times New Roman"/>
          <w:color w:val="000000"/>
          <w:sz w:val="24"/>
        </w:rPr>
        <w:t xml:space="preserve"> that, if such Affected Person is a partnership and one or more direct or indirect partners of such Affected Person are claiming the portfolio interest exemption, such Affected Person may provide a U.S. Tax Compliance Certificate on behalf of each such direct and indirect partner; and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any Affected Person that is not a U.S. Person shall, to the extent it is legally entitled to do so, deliver to the Seller and the Administrative Agent (in such number of copies as shall be requested by the recipient), from time to time upon the reasonable request of the Seller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Seller or the Administrative Agent to determine the withholding or deduction required to be made.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(g) </w:t>
      </w:r>
      <w:r>
        <w:rPr>
          <w:rFonts w:ascii="Times New Roman" w:hAnsi="Times New Roman"/>
          <w:color w:val="000000"/>
          <w:sz w:val="24"/>
          <w:u w:val="single"/>
        </w:rPr>
        <w:t>Documentation Required by FATCA</w:t>
      </w:r>
      <w:r>
        <w:rPr>
          <w:rFonts w:ascii="Times New Roman" w:hAnsi="Times New Roman"/>
          <w:color w:val="000000"/>
          <w:sz w:val="24"/>
        </w:rPr>
        <w:t xml:space="preserve">. If a payment made to an Affected Person under any Transaction Document would be subject to Tax imposed by FATCA if such Affected Person were to fail to comply with the applicable reporting requirements of FATCA (including those contained in Section 1471(b) or 1472(b) of the Code, as applicable), such Affected Person shall deliver to the Seller and the Administrative Agent at the time or times prescribed by Applicable Law and at such time or times reasonably requested by the Seller or the Administrative Agent such documentation prescribed by Applicable Law (including as prescribed by Section 1471(b)(3)(C)(i) of the Code) and such additional documentation reasonably requested by the Seller or the Administrative Agent as may be necessary for the Seller and the Administrative Agent to comply with their obligations under FATCA and to determine that such Affected Person has complied with such Affected Person’s obligations under FATCA or to determine the amount to deduct and withhold from such payment. Solely for purposes of this </w:t>
      </w:r>
      <w:r>
        <w:rPr>
          <w:rFonts w:ascii="Times New Roman" w:hAnsi="Times New Roman"/>
          <w:color w:val="000000"/>
          <w:sz w:val="24"/>
          <w:u w:val="single"/>
        </w:rPr>
        <w:t>clause (g)</w:t>
      </w:r>
      <w:r>
        <w:rPr>
          <w:rFonts w:ascii="Times New Roman" w:hAnsi="Times New Roman"/>
          <w:color w:val="000000"/>
          <w:sz w:val="24"/>
        </w:rPr>
        <w:t>, “</w:t>
      </w:r>
      <w:r>
        <w:rPr>
          <w:rFonts w:ascii="Times New Roman" w:hAnsi="Times New Roman"/>
          <w:color w:val="000000"/>
          <w:sz w:val="24"/>
          <w:u w:val="single"/>
        </w:rPr>
        <w:t>FATCA</w:t>
      </w:r>
      <w:r>
        <w:rPr>
          <w:rFonts w:ascii="Times New Roman" w:hAnsi="Times New Roman"/>
          <w:color w:val="000000"/>
          <w:sz w:val="24"/>
        </w:rPr>
        <w:t>” shall include any amendments made to FATCA after the date of this Agreement.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(h) </w:t>
      </w:r>
      <w:r>
        <w:rPr>
          <w:rFonts w:ascii="Times New Roman" w:hAnsi="Times New Roman"/>
          <w:color w:val="000000"/>
          <w:sz w:val="24"/>
          <w:u w:val="single"/>
        </w:rPr>
        <w:t>Survival</w:t>
      </w:r>
      <w:r>
        <w:rPr>
          <w:rFonts w:ascii="Times New Roman" w:hAnsi="Times New Roman"/>
          <w:color w:val="000000"/>
          <w:sz w:val="24"/>
        </w:rPr>
        <w:t xml:space="preserve">. Each party’s obligations under this </w:t>
      </w:r>
      <w:r>
        <w:rPr>
          <w:rFonts w:ascii="Times New Roman" w:hAnsi="Times New Roman"/>
          <w:color w:val="000000"/>
          <w:sz w:val="24"/>
          <w:u w:val="single"/>
        </w:rPr>
        <w:t>Section 4.03</w:t>
      </w:r>
      <w:r>
        <w:rPr>
          <w:rFonts w:ascii="Times New Roman" w:hAnsi="Times New Roman"/>
          <w:color w:val="000000"/>
          <w:sz w:val="24"/>
        </w:rPr>
        <w:t xml:space="preserve"> shall survive the resignation or replacement of the Administrative Agent or any assignment of rights by, or the replacement of, a Purchaser Party or any other Affected person, the termination of the Commitments and the repayment, satisfaction or discharge of all the Seller Obligations and the Servicer’s obligations hereunder.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 </w:t>
      </w:r>
      <w:r>
        <w:rPr>
          <w:rFonts w:ascii="Times New Roman" w:hAnsi="Times New Roman"/>
          <w:color w:val="000000"/>
          <w:sz w:val="24"/>
          <w:u w:val="single"/>
        </w:rPr>
        <w:t>Updates</w:t>
      </w:r>
      <w:r>
        <w:rPr>
          <w:rFonts w:ascii="Times New Roman" w:hAnsi="Times New Roman"/>
          <w:color w:val="000000"/>
          <w:sz w:val="24"/>
        </w:rPr>
        <w:t xml:space="preserve">. Each Affected Person agrees that if any form or certification it previously delivered pursuant to this </w:t>
      </w:r>
      <w:r>
        <w:rPr>
          <w:rFonts w:ascii="Times New Roman" w:hAnsi="Times New Roman"/>
          <w:color w:val="000000"/>
          <w:sz w:val="24"/>
          <w:u w:val="single"/>
        </w:rPr>
        <w:t>Section 4.03(f)</w:t>
      </w:r>
      <w:r>
        <w:rPr>
          <w:rFonts w:ascii="Times New Roman" w:hAnsi="Times New Roman"/>
          <w:color w:val="000000"/>
          <w:sz w:val="24"/>
        </w:rPr>
        <w:t xml:space="preserve"> or </w:t>
      </w:r>
      <w:r>
        <w:rPr>
          <w:rFonts w:ascii="Times New Roman" w:hAnsi="Times New Roman"/>
          <w:color w:val="000000"/>
          <w:sz w:val="24"/>
          <w:u w:val="single"/>
        </w:rPr>
        <w:t>Section 4.03(g)</w:t>
      </w:r>
      <w:r>
        <w:rPr>
          <w:rFonts w:ascii="Times New Roman" w:hAnsi="Times New Roman"/>
          <w:color w:val="000000"/>
          <w:sz w:val="24"/>
        </w:rPr>
        <w:t xml:space="preserve"> expires or becomes obsolete or inaccurate in any respect, it shall update such form or certification or promptly notify the Seller and the Administrative Agent in writing of its legal inability to do so.</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(j) </w:t>
      </w:r>
      <w:r>
        <w:rPr>
          <w:rFonts w:ascii="Times New Roman" w:hAnsi="Times New Roman"/>
          <w:color w:val="000000"/>
          <w:sz w:val="24"/>
          <w:u w:val="single"/>
        </w:rPr>
        <w:t>Treatment of Certain Refunds</w:t>
      </w:r>
      <w:r>
        <w:rPr>
          <w:rFonts w:ascii="Times New Roman" w:hAnsi="Times New Roman"/>
          <w:color w:val="000000"/>
          <w:sz w:val="24"/>
        </w:rPr>
        <w:t xml:space="preserve">. If any party determines, in its sole discretion exercised in good faith, that it has received a refund of any Taxes as to which it has been indemnified pursuant to this </w:t>
      </w:r>
      <w:r>
        <w:rPr>
          <w:rFonts w:ascii="Times New Roman" w:hAnsi="Times New Roman"/>
          <w:color w:val="000000"/>
          <w:sz w:val="24"/>
          <w:u w:val="single"/>
        </w:rPr>
        <w:t>Section 4.03</w:t>
      </w:r>
      <w:r>
        <w:rPr>
          <w:rFonts w:ascii="Times New Roman" w:hAnsi="Times New Roman"/>
          <w:color w:val="000000"/>
          <w:sz w:val="24"/>
        </w:rPr>
        <w:t xml:space="preserve"> (including by the payment of additional amounts pursuant to this </w:t>
      </w:r>
      <w:r>
        <w:rPr>
          <w:rFonts w:ascii="Times New Roman" w:hAnsi="Times New Roman"/>
          <w:color w:val="000000"/>
          <w:sz w:val="24"/>
          <w:u w:val="single"/>
        </w:rPr>
        <w:t>Section 4.03</w:t>
      </w:r>
      <w:r>
        <w:rPr>
          <w:rFonts w:ascii="Times New Roman" w:hAnsi="Times New Roman"/>
          <w:color w:val="000000"/>
          <w:sz w:val="24"/>
        </w:rPr>
        <w:t xml:space="preserve">), it shall pay to the indemnifying party an amount equal to such refund (but only to the extent of indemnity payments made under this </w:t>
      </w:r>
      <w:r>
        <w:rPr>
          <w:rFonts w:ascii="Times New Roman" w:hAnsi="Times New Roman"/>
          <w:color w:val="000000"/>
          <w:sz w:val="24"/>
          <w:u w:val="single"/>
        </w:rPr>
        <w:t>Section 4.03</w:t>
      </w:r>
      <w:r>
        <w:rPr>
          <w:rFonts w:ascii="Times New Roman" w:hAnsi="Times New Roman"/>
          <w:color w:val="000000"/>
          <w:sz w:val="24"/>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(j) (plus any penalties, interest or other charges imposed by the relevant Governmental Authority) in the event that such indemnified party is required to repay such refund to such Governmental Authority. Notwithstanding anything to the contrary in this paragraph (j), in no event will the indemnified party be required to pay any amount to an indemnifying party pursuant to this paragraph (j) the payment of which would place the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indemnified party in a less favourable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(k) </w:t>
      </w:r>
      <w:r>
        <w:rPr>
          <w:rFonts w:ascii="Times New Roman" w:hAnsi="Times New Roman"/>
          <w:color w:val="000000"/>
          <w:sz w:val="24"/>
          <w:u w:val="single"/>
        </w:rPr>
        <w:t xml:space="preserve">VAT. </w:t>
      </w:r>
      <w:r>
        <w:rPr>
          <w:rFonts w:ascii="Times New Roman" w:hAnsi="Times New Roman"/>
          <w:color w:val="000000"/>
          <w:sz w:val="24"/>
        </w:rPr>
        <w:t>Unless otherwise specified, all amounts expressed to be payable under a Transaction Document by any party (a "</w:t>
      </w:r>
      <w:r>
        <w:rPr>
          <w:rFonts w:ascii="Times New Roman" w:hAnsi="Times New Roman"/>
          <w:color w:val="000000"/>
          <w:sz w:val="24"/>
          <w:u w:val="single"/>
        </w:rPr>
        <w:t>Customer</w:t>
      </w:r>
      <w:r>
        <w:rPr>
          <w:rFonts w:ascii="Times New Roman" w:hAnsi="Times New Roman"/>
          <w:color w:val="000000"/>
          <w:sz w:val="24"/>
        </w:rPr>
        <w:t>") to another party other than a Seller Party (a "</w:t>
      </w:r>
      <w:r>
        <w:rPr>
          <w:rFonts w:ascii="Times New Roman" w:hAnsi="Times New Roman"/>
          <w:color w:val="000000"/>
          <w:sz w:val="24"/>
          <w:u w:val="single"/>
        </w:rPr>
        <w:t>Supplier</w:t>
      </w:r>
      <w:r>
        <w:rPr>
          <w:rFonts w:ascii="Times New Roman" w:hAnsi="Times New Roman"/>
          <w:color w:val="000000"/>
          <w:sz w:val="24"/>
        </w:rPr>
        <w:t>"), which (in whole or in part) constitute the consideration for any supply for VAT purposes are deemed to be exclusive of any VAT which is chargeable on that supply, and accordingly, if VAT is or becomes chargeable on any supply made by a Supplier to a Customer under a Transaction Document and such Supplier is required to account to the relevant tax authority for the VAT, that Customer must pay to such Supplier (in addition to and at the same time as paying any other consideration for such supply) an amount equal to the amount of the VAT (and such Supplier must promptly provide an appropriate VAT invoice to that Customer).</w:t>
      </w:r>
    </w:p>
    <w:p>
      <w:pPr>
        <w:pStyle w:val="TextBody"/>
        <w:bidi w:val="0"/>
        <w:spacing w:before="240" w:after="283"/>
        <w:jc w:val="both"/>
        <w:rPr>
          <w:rFonts w:ascii="Times New Roman" w:hAnsi="Times New Roman"/>
          <w:sz w:val="24"/>
        </w:rPr>
      </w:pPr>
      <w:r>
        <w:rPr>
          <w:rFonts w:ascii="Times New Roman" w:hAnsi="Times New Roman"/>
          <w:color w:val="000000"/>
          <w:sz w:val="24"/>
        </w:rPr>
        <w:t>(l) Unless otherwise specified, all amounts expressed to be payable under a Transaction Document by any party to a Seller Party are deemed to be inclusive of any VAT which is chargeable on that supply, and accordingly, if VAT is or becomes chargeable on any supply made by a Seller Party under a Transaction Document, the party receiving or deemed to receive the supply for VAT purposes (the "</w:t>
      </w:r>
      <w:r>
        <w:rPr>
          <w:rFonts w:ascii="Times New Roman" w:hAnsi="Times New Roman"/>
          <w:color w:val="000000"/>
          <w:sz w:val="24"/>
          <w:u w:val="single"/>
        </w:rPr>
        <w:t>Relevant Recipient</w:t>
      </w:r>
      <w:r>
        <w:rPr>
          <w:rFonts w:ascii="Times New Roman" w:hAnsi="Times New Roman"/>
          <w:color w:val="000000"/>
          <w:sz w:val="24"/>
        </w:rPr>
        <w:t>") shall not be required to pay any additional amount in respect of any such VAT to the relevant Seller Party in any circumstances. Unless otherwise specified, where the Relevant Recipient is required to account to the relevant tax authority for VAT in respect of a supply for VAT purposes made to it by a Seller Party, the amount of consideration payable to the relevant Seller Party in respect of the relevant supply for VAT purposes shall be reduced by an amount equal to the VAT liability suffered by the Relevant Recipient.</w:t>
      </w:r>
    </w:p>
    <w:p>
      <w:pPr>
        <w:pStyle w:val="TextBody"/>
        <w:bidi w:val="0"/>
        <w:spacing w:before="240" w:after="283"/>
        <w:jc w:val="both"/>
        <w:rPr>
          <w:rFonts w:ascii="Times New Roman" w:hAnsi="Times New Roman"/>
          <w:sz w:val="24"/>
        </w:rPr>
      </w:pPr>
      <w:r>
        <w:rPr>
          <w:rFonts w:ascii="Times New Roman" w:hAnsi="Times New Roman"/>
          <w:color w:val="000000"/>
          <w:sz w:val="24"/>
        </w:rPr>
        <w:t>(m) Where a Transaction Document requires any party (an "</w:t>
      </w:r>
      <w:r>
        <w:rPr>
          <w:rFonts w:ascii="Times New Roman" w:hAnsi="Times New Roman"/>
          <w:color w:val="000000"/>
          <w:sz w:val="24"/>
          <w:u w:val="single"/>
        </w:rPr>
        <w:t>Indemnifying</w:t>
      </w:r>
      <w:r>
        <w:rPr>
          <w:rFonts w:ascii="Times New Roman" w:hAnsi="Times New Roman"/>
          <w:color w:val="000000"/>
          <w:sz w:val="24"/>
        </w:rPr>
        <w:t xml:space="preserve"> </w:t>
      </w:r>
      <w:r>
        <w:rPr>
          <w:rFonts w:ascii="Times New Roman" w:hAnsi="Times New Roman"/>
          <w:color w:val="000000"/>
          <w:sz w:val="24"/>
          <w:u w:val="single"/>
        </w:rPr>
        <w:t>Party</w:t>
      </w:r>
      <w:r>
        <w:rPr>
          <w:rFonts w:ascii="Times New Roman" w:hAnsi="Times New Roman"/>
          <w:color w:val="000000"/>
          <w:sz w:val="24"/>
        </w:rPr>
        <w:t>") to reimburse or indemnify another party for any cost or expense, the Indemnifying Party shall reimburse or indemnify (as the case may be) such party for the full amount of such cost or expense, including such part thereof as represents VAT, save to the extent that such party reasonably determines that it is entitled to credit or repayment in respect of such VAT from the relevant tax authority.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 Any reference in any Transaction Document to any Person shall, at any time when such Person is treated as a member of a group for VAT purposes, include (where appropriate and unless the context otherwise requires) a reference to the Person who is treated as making the supply or (as appropriate) receiving the supply under the grouping rules (as provided for in Article 11 of the Council Directive 2006/112/EC (or as implemented by the relevant member state of the European Union or any other similar provision in any jurisdiction which is not a member state of the European Union)) so that a reference to a Person shall be construed as a reference to that Person or the relevant group or unity (or fiscal unity) of which that Person is a member for VAT purposes at the relevant time or the relevant member (or head) of that group or unity (or fiscal unity) at the relevant time (as the case may be).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 In relation to any supply made by a party to another party under a Transaction Document, if reasonably requested by the first party, the second party must promptly provide the first party with details of the second party's VAT registration and such other information as is reasonably requested in connection with the first party’s VAT reporting requirements in relation to such supply.</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Section 4.04. </w:t>
      </w:r>
      <w:r>
        <w:rPr>
          <w:rFonts w:ascii="Times New Roman" w:hAnsi="Times New Roman"/>
          <w:color w:val="000000"/>
          <w:sz w:val="24"/>
          <w:u w:val="single"/>
        </w:rPr>
        <w:t>Back-Up Security Interest and Back-Up Trust</w:t>
      </w:r>
      <w:r>
        <w:rPr>
          <w:rFonts w:ascii="Times New Roman" w:hAnsi="Times New Roman"/>
          <w:color w:val="000000"/>
          <w:sz w:val="24"/>
        </w:rPr>
        <w: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If, notwithstanding the intent of the parties stated in </w:t>
      </w:r>
      <w:r>
        <w:rPr>
          <w:rFonts w:ascii="Times New Roman" w:hAnsi="Times New Roman"/>
          <w:color w:val="000000"/>
          <w:sz w:val="24"/>
          <w:u w:val="single"/>
        </w:rPr>
        <w:t>Section 2.01(c)</w:t>
      </w:r>
      <w:r>
        <w:rPr>
          <w:rFonts w:ascii="Times New Roman" w:hAnsi="Times New Roman"/>
          <w:color w:val="000000"/>
          <w:sz w:val="24"/>
        </w:rPr>
        <w:t xml:space="preserve">, the sale, assignment and transfer of any Sold Assets to the Administrative Agent (for the ratable benefit of the Purchasers) hereunder (including pursuant to </w:t>
      </w:r>
      <w:r>
        <w:rPr>
          <w:rFonts w:ascii="Times New Roman" w:hAnsi="Times New Roman"/>
          <w:color w:val="000000"/>
          <w:sz w:val="24"/>
          <w:u w:val="single"/>
        </w:rPr>
        <w:t>Section 2.01(b)</w:t>
      </w:r>
      <w:r>
        <w:rPr>
          <w:rFonts w:ascii="Times New Roman" w:hAnsi="Times New Roman"/>
          <w:color w:val="000000"/>
          <w:sz w:val="24"/>
        </w:rPr>
        <w:t xml:space="preserve">) is not treated as a sale for all purposes (except as provided in </w:t>
      </w:r>
      <w:r>
        <w:rPr>
          <w:rFonts w:ascii="Times New Roman" w:hAnsi="Times New Roman"/>
          <w:color w:val="000000"/>
          <w:sz w:val="24"/>
          <w:u w:val="single"/>
        </w:rPr>
        <w:t>Section 2.01(d)</w:t>
      </w:r>
      <w:r>
        <w:rPr>
          <w:rFonts w:ascii="Times New Roman" w:hAnsi="Times New Roman"/>
          <w:color w:val="000000"/>
          <w:sz w:val="24"/>
        </w:rPr>
        <w:t>, then such sale, assignment and transfer of such Sold Assets shall be treated as the grant of a security interest pursuant to the UK Security Agreement by the Seller to the Administrative Agent (for the ratable benefit of the Purchasers) to secure the payment and performance of all the Seller’s obligations to the Administrative Agent, the Purchasers and the other Secured Parties hereunder and under the other Transaction Documents (including all Seller Obligations).</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Section 4.05. </w:t>
      </w:r>
      <w:r>
        <w:rPr>
          <w:rFonts w:ascii="Times New Roman" w:hAnsi="Times New Roman"/>
          <w:color w:val="000000"/>
          <w:sz w:val="24"/>
          <w:u w:val="single"/>
        </w:rPr>
        <w:t>Inability to Determine Rates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If in connection with any making, maintenance or funding of Capital, (i) the Administrative Agent determines (which determination shall be conclusive absent manifest error) that (A) no Successor Rate for the Relevant Rate for the applicable Agreed Currency has been determined in accordance with </w:t>
      </w:r>
      <w:r>
        <w:rPr>
          <w:rFonts w:ascii="Times New Roman" w:hAnsi="Times New Roman"/>
          <w:color w:val="000000"/>
          <w:sz w:val="24"/>
          <w:u w:val="single"/>
        </w:rPr>
        <w:t>Section 4.05(b)</w:t>
      </w:r>
      <w:r>
        <w:rPr>
          <w:rFonts w:ascii="Times New Roman" w:hAnsi="Times New Roman"/>
          <w:color w:val="000000"/>
          <w:sz w:val="24"/>
        </w:rPr>
        <w:t xml:space="preserve"> or </w:t>
      </w:r>
      <w:r>
        <w:rPr>
          <w:rFonts w:ascii="Times New Roman" w:hAnsi="Times New Roman"/>
          <w:color w:val="000000"/>
          <w:sz w:val="24"/>
          <w:u w:val="single"/>
        </w:rPr>
        <w:t>Section 4.05(c)</w:t>
      </w:r>
      <w:r>
        <w:rPr>
          <w:rFonts w:ascii="Times New Roman" w:hAnsi="Times New Roman"/>
          <w:color w:val="000000"/>
          <w:sz w:val="24"/>
        </w:rPr>
        <w:t xml:space="preserve"> and the circumstances under clause (i) of </w:t>
      </w:r>
      <w:r>
        <w:rPr>
          <w:rFonts w:ascii="Times New Roman" w:hAnsi="Times New Roman"/>
          <w:color w:val="000000"/>
          <w:sz w:val="24"/>
          <w:u w:val="single"/>
        </w:rPr>
        <w:t>Section 4.05(b)</w:t>
      </w:r>
      <w:r>
        <w:rPr>
          <w:rFonts w:ascii="Times New Roman" w:hAnsi="Times New Roman"/>
          <w:color w:val="000000"/>
          <w:sz w:val="24"/>
        </w:rPr>
        <w:t xml:space="preserve"> or of </w:t>
      </w:r>
      <w:r>
        <w:rPr>
          <w:rFonts w:ascii="Times New Roman" w:hAnsi="Times New Roman"/>
          <w:color w:val="000000"/>
          <w:sz w:val="24"/>
          <w:u w:val="single"/>
        </w:rPr>
        <w:t>Section 4.05(c)</w:t>
      </w:r>
      <w:r>
        <w:rPr>
          <w:rFonts w:ascii="Times New Roman" w:hAnsi="Times New Roman"/>
          <w:color w:val="000000"/>
          <w:sz w:val="24"/>
        </w:rPr>
        <w:t xml:space="preserve"> or the Scheduled Unavailability Date, or the SOFR Scheduled Unavailability Date, has occurred with respect to such Relevant Rate (as applicable), or (B) adequate and reasonable means do not otherwise exist for determining the Relevant Rate for the applicable Agreed Currency for any determination date(s) or requested Yield Period, as applicable, with respect to a proposed Investment of Capital, (ii) the Administrative Agent or the Majority Group Agents determine that for any reason that the Relevant Rate with respect to a proposed Investment denominated in an Agreed Currency for any requested Yield Period or determination date(s) does not adequately and fairly reflect the cost to such Purchasers of funding such Investment, or (iii) the Administrative Agent determines that the making, maintenance or funding of any Investment (or Portion of Capital thereof) accruing yield by reference to the Relevant Rate has been made unlawful, by compliance by the Administrative Agent in good faith with any Law or any interpretation or application thereof by any Governmental Authority or with any request or directive of any such Governmental Authority (whether or not having the force of Law) then the Administrative Agent will promptly so notify the Seller, Ashland and each Group Agent.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Thereafter, the obligation of the Purchasers to fund or maintain Capital in the affected currencies, as applicable, shall be suspended in each case to the extent of the affected Capital or Yield Period or determination date(s), as applicable, until the Administrative Agent (upon instruction of the Majority Group Agents) revokes such notice.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Upon receipt of such notice, (i) the Seller may revoke any pending request for an Investment of Capital to the extent of the affected Capital or Yield Period or determination date(s), as applicable or, failing that, will be deemed to have converted such request into a request for an Investment denominated in Euro in the Euro Equivalent of the amount specified therein and (ii) (A) any outstanding Capital denominated in Euros shall be deemed to have been converted to accrue Yield at the Base Rate immediately and (B) any outstanding affected Capital not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denominated in Euros, at the Seller’s election, shall either (1) be converted into Capital denominated in Euro in the Euro Equivalent of the amount of such outstanding Capital immediately in the case of Capital accruing at a Relevant Rate based on a daily rate or at the end of the applicable Yield Period, in the case of Capital accruing at a Relevant Rate based on a term rate or (2) be prepaid in full immediately, in the case of Capital accruing at a Relevant Rate based a daily rate, or at the end of the applicable Yield Period, in the case of Capital accruing at a Relevant Rate based a term rate; provided that if no election is made by the Seller (x) in the case of an Capital accruing at a Relevant Rate based a daily rate, the date that is three Business Days after receipt by the Seller of such notice or (y) in the case of Capital accruing at a Relevant Rate based a term rate, by the last day of the current Yield Period for the applicable Capital accruing at a Relevant Rate based a term rate, the Seller shall be deemed to have elected </w:t>
      </w:r>
      <w:r>
        <w:rPr>
          <w:rFonts w:ascii="Times New Roman" w:hAnsi="Times New Roman"/>
          <w:color w:val="000000"/>
          <w:sz w:val="24"/>
          <w:u w:val="single"/>
        </w:rPr>
        <w:t>clause (1)</w:t>
      </w:r>
      <w:r>
        <w:rPr>
          <w:rFonts w:ascii="Times New Roman" w:hAnsi="Times New Roman"/>
          <w:color w:val="000000"/>
          <w:sz w:val="24"/>
        </w:rPr>
        <w:t xml:space="preserve"> above.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Replacement of SOFR or SOFR Successor Rate.</w:t>
      </w:r>
      <w:r>
        <w:rPr>
          <w:rFonts w:ascii="Times New Roman" w:hAnsi="Times New Roman"/>
          <w:color w:val="000000"/>
          <w:sz w:val="24"/>
        </w:rPr>
        <w:t xml:space="preserve"> Notwithstanding anything to the contrary in this Agreement or any other Transaction Documents, if the Administrative Agent determines (which determination shall be conclusive absent manifest error), or Ashland or the Majority Group Agents notify the Administrative Agent (with, in the case of the Majority Group Agents, a copy to Ashland and the Seller) that Ashland or the Majority Group Agents (as applicable) have determined,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adequate and reasonable means do not exist for ascertaining SOFR because SOFR is not available or published on a current basis and such circumstances are unlikely to be temporary; or.</w:t>
      </w:r>
    </w:p>
    <w:p>
      <w:pPr>
        <w:pStyle w:val="TextBody"/>
        <w:bidi w:val="0"/>
        <w:spacing w:before="240" w:after="283"/>
        <w:jc w:val="both"/>
        <w:rPr>
          <w:rFonts w:ascii="Times New Roman" w:hAnsi="Times New Roman"/>
          <w:sz w:val="24"/>
        </w:rPr>
      </w:pPr>
      <w:r>
        <w:rPr>
          <w:rFonts w:ascii="Times New Roman" w:hAnsi="Times New Roman"/>
          <w:color w:val="000000"/>
          <w:sz w:val="24"/>
        </w:rPr>
        <w:t>(ii) the Applicable Authority has made a public statement identifying a specific date after which SOFR shall or will no longer be representative or made available, or permitted to be used for determining the interest rate of syndicated loans denominated in Dollars, or shall or will otherwise cease, provided that, in each case, at the time of such statement, there is no successor administrator that is satisfactory to the Administrative Agent that will continue to provide SOFR on a representative basis (the date on which SOFR is no longer representative or available permanently or indefinitely, the “</w:t>
      </w:r>
      <w:r>
        <w:rPr>
          <w:rFonts w:ascii="Times New Roman" w:hAnsi="Times New Roman"/>
          <w:color w:val="000000"/>
          <w:sz w:val="24"/>
          <w:u w:val="single"/>
        </w:rPr>
        <w:t>SOFR Scheduled Unavailability Date</w:t>
      </w:r>
      <w:r>
        <w:rPr>
          <w:rFonts w:ascii="Times New Roman" w:hAnsi="Times New Roman"/>
          <w:color w:val="000000"/>
          <w:sz w:val="24"/>
        </w:rPr>
        <w: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or if the events or circumstances of the type described in </w:t>
      </w:r>
      <w:r>
        <w:rPr>
          <w:rFonts w:ascii="Times New Roman" w:hAnsi="Times New Roman"/>
          <w:color w:val="000000"/>
          <w:sz w:val="24"/>
          <w:u w:val="single"/>
        </w:rPr>
        <w:t>Section 4.05(b)</w:t>
      </w:r>
      <w:r>
        <w:rPr>
          <w:rFonts w:ascii="Times New Roman" w:hAnsi="Times New Roman"/>
          <w:color w:val="000000"/>
          <w:sz w:val="24"/>
        </w:rPr>
        <w:t xml:space="preserve"> (i) or (ii) have occurred with respect to the SOFR Successor Rate then in effect, then, the Administrative Agent, Ashland and the Seller may amend this Agreement solely for the purpose of replacing SOFR for Dollars or any then current SOFR Successor Rate for Dollars in accordance with this </w:t>
      </w:r>
      <w:r>
        <w:rPr>
          <w:rFonts w:ascii="Times New Roman" w:hAnsi="Times New Roman"/>
          <w:color w:val="000000"/>
          <w:sz w:val="24"/>
          <w:u w:val="single"/>
        </w:rPr>
        <w:t>Section 4.05</w:t>
      </w:r>
      <w:r>
        <w:rPr>
          <w:rFonts w:ascii="Times New Roman" w:hAnsi="Times New Roman"/>
          <w:color w:val="000000"/>
          <w:sz w:val="24"/>
        </w:rPr>
        <w:t xml:space="preserve"> with an alternative benchmark rate giving due consideration to any evolving or then existing convention for similar transactions in the U.S. and denominated in Dollars for such alternative benchmarks, and, in each case, including any mathematical or other adjustments to such benchmark giving due consideration to any evolving or then existing convention for similar transactions in the U.S. and denominated in Dollars for such benchmarks (and any such proposed rate, including for the avoidance of doubt, any adjustment thereto, a “</w:t>
      </w:r>
      <w:r>
        <w:rPr>
          <w:rFonts w:ascii="Times New Roman" w:hAnsi="Times New Roman"/>
          <w:color w:val="000000"/>
          <w:sz w:val="24"/>
          <w:u w:val="single"/>
        </w:rPr>
        <w:t>SOFR Successor</w:t>
      </w:r>
      <w:r>
        <w:rPr>
          <w:rFonts w:ascii="Times New Roman" w:hAnsi="Times New Roman"/>
          <w:color w:val="000000"/>
          <w:sz w:val="24"/>
        </w:rPr>
        <w:t xml:space="preserve"> </w:t>
      </w:r>
      <w:r>
        <w:rPr>
          <w:rFonts w:ascii="Times New Roman" w:hAnsi="Times New Roman"/>
          <w:color w:val="000000"/>
          <w:sz w:val="24"/>
          <w:u w:val="single"/>
        </w:rPr>
        <w:t>Rate</w:t>
      </w:r>
      <w:r>
        <w:rPr>
          <w:rFonts w:ascii="Times New Roman" w:hAnsi="Times New Roman"/>
          <w:color w:val="000000"/>
          <w:sz w:val="24"/>
        </w:rPr>
        <w:t>”), and any such amendment shall become effective at 5:00 p.m. on the fifth Business Day after the Administrative Agent shall have posted such proposed amendment to all Purchasers, Ashland and the Seller unless, prior to such time, Purchasers comprising the Majority Group Agents have delivered to the Administrative Agent written notice that such Majority Group Agents object to such amendment.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Replacement of Relevant Rate or Successor Rate</w:t>
      </w:r>
      <w:r>
        <w:rPr>
          <w:rFonts w:ascii="Times New Roman" w:hAnsi="Times New Roman"/>
          <w:color w:val="000000"/>
          <w:sz w:val="24"/>
        </w:rPr>
        <w:t>. Notwithstanding anything to the contrary in this Agreement or any other Transaction Documents, if the Administrative Agent determines (which determination shall be conclusive absent manifest error), or Ashland or the Majority Group Agents notify the Administrative Agent (with, in the case of the Majority Group Agents, a copy to Ashland) that Ashland or the Majority Group Agents (as applicable) have determined,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adequate and reasonable means do not exist for ascertaining the Relevant Rate (other than SOFR) for an Agreed Currency (other than Dollars) because none of the tenors of such Relevant Rate (other than SOFR) under this Agreement is available or published on a current basis, and such circumstances are unlikely to be temporary; or</w:t>
      </w:r>
    </w:p>
    <w:p>
      <w:pPr>
        <w:pStyle w:val="TextBody"/>
        <w:bidi w:val="0"/>
        <w:spacing w:before="240" w:after="283"/>
        <w:jc w:val="both"/>
        <w:rPr>
          <w:rFonts w:ascii="Times New Roman" w:hAnsi="Times New Roman"/>
          <w:sz w:val="24"/>
        </w:rPr>
      </w:pPr>
      <w:r>
        <w:rPr>
          <w:rFonts w:ascii="Times New Roman" w:hAnsi="Times New Roman"/>
          <w:color w:val="000000"/>
          <w:sz w:val="24"/>
        </w:rPr>
        <w:t>(ii) the Applicable Authority has made a public statement identifying a specific date after which all tenors of the Relevant Rate (other than SOFR) for an Agreed Currency (other than Dollars) under this Agreement shall or will no longer be representative or made available, or permitted to be used for determining the interest rate of syndicated loans denominated in such Agreed Currency (other than Dollars), or shall or will otherwise cease, provided that, in each case, at the time of such statement, there is no successor administrator that is satisfactory to the Administrative Agent that will continue to provide such representative tenor(s) of the Relevant Rate (other than SOFR) for such Agreed Currency (other than Dollars) (the latest date on which all tenors of the Relevant Rate for such Agreed Currency (other than Dollars) under this Agreement are no longer representative or available permanently or indefinitely, the “</w:t>
      </w:r>
      <w:r>
        <w:rPr>
          <w:rFonts w:ascii="Times New Roman" w:hAnsi="Times New Roman"/>
          <w:color w:val="000000"/>
          <w:sz w:val="24"/>
          <w:u w:val="single"/>
        </w:rPr>
        <w:t>Scheduled Unavailability Date</w:t>
      </w:r>
      <w:r>
        <w:rPr>
          <w:rFonts w:ascii="Times New Roman" w:hAnsi="Times New Roman"/>
          <w:color w:val="000000"/>
          <w:sz w:val="24"/>
        </w:rPr>
        <w: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or if the events or circumstances of the type described in </w:t>
      </w:r>
      <w:r>
        <w:rPr>
          <w:rFonts w:ascii="Times New Roman" w:hAnsi="Times New Roman"/>
          <w:color w:val="000000"/>
          <w:sz w:val="24"/>
          <w:u w:val="single"/>
        </w:rPr>
        <w:t>Section 4.05(c)</w:t>
      </w:r>
      <w:r>
        <w:rPr>
          <w:rFonts w:ascii="Times New Roman" w:hAnsi="Times New Roman"/>
          <w:color w:val="000000"/>
          <w:sz w:val="24"/>
        </w:rPr>
        <w:t xml:space="preserve"> (i) or (ii) have occurred with respect to the Successor Rate then in effect, then, the Administrative Agent, Ashland and the Seller may amend this Agreement solely for the purpose of replacing the Relevant Rate for an Agreed Currency (other than Dollars) or any then current Successor Rate for an Agreed Currency (other than Dollars) in accordance with this </w:t>
      </w:r>
      <w:r>
        <w:rPr>
          <w:rFonts w:ascii="Times New Roman" w:hAnsi="Times New Roman"/>
          <w:color w:val="000000"/>
          <w:sz w:val="24"/>
          <w:u w:val="single"/>
        </w:rPr>
        <w:t>Section 4.05</w:t>
      </w:r>
      <w:r>
        <w:rPr>
          <w:rFonts w:ascii="Times New Roman" w:hAnsi="Times New Roman"/>
          <w:color w:val="000000"/>
          <w:sz w:val="24"/>
        </w:rPr>
        <w:t xml:space="preserve"> with an alternative benchmark rate giving due consideration to any evolving or then existing convention for similar transactions in the U.S. and denominated in such Agreed Currency (other than Dollars) for such alternative benchmarks, and, in each case, including any mathematical or other adjustments to such benchmark giving due consideration to any evolving or then existing convention for similar credit facilities transactions in the U.S. and denominated in such Agreed Currency (other than Dollars) for such benchmarks (and any such proposed rate, including for the avoidance of doubt, any adjustment thereto, a “</w:t>
      </w:r>
      <w:r>
        <w:rPr>
          <w:rFonts w:ascii="Times New Roman" w:hAnsi="Times New Roman"/>
          <w:color w:val="000000"/>
          <w:sz w:val="24"/>
          <w:u w:val="single"/>
        </w:rPr>
        <w:t>Non-SOFR Successor</w:t>
      </w:r>
      <w:r>
        <w:rPr>
          <w:rFonts w:ascii="Times New Roman" w:hAnsi="Times New Roman"/>
          <w:color w:val="000000"/>
          <w:sz w:val="24"/>
        </w:rPr>
        <w:t xml:space="preserve"> </w:t>
      </w:r>
      <w:r>
        <w:rPr>
          <w:rFonts w:ascii="Times New Roman" w:hAnsi="Times New Roman"/>
          <w:color w:val="000000"/>
          <w:sz w:val="24"/>
          <w:u w:val="single"/>
        </w:rPr>
        <w:t>Rate</w:t>
      </w:r>
      <w:r>
        <w:rPr>
          <w:rFonts w:ascii="Times New Roman" w:hAnsi="Times New Roman"/>
          <w:color w:val="000000"/>
          <w:sz w:val="24"/>
        </w:rPr>
        <w:t>”, and collectively with the SOFR Successor Rate, each a “</w:t>
      </w:r>
      <w:r>
        <w:rPr>
          <w:rFonts w:ascii="Times New Roman" w:hAnsi="Times New Roman"/>
          <w:color w:val="000000"/>
          <w:sz w:val="24"/>
          <w:u w:val="single"/>
        </w:rPr>
        <w:t>Successor Rate</w:t>
      </w:r>
      <w:r>
        <w:rPr>
          <w:rFonts w:ascii="Times New Roman" w:hAnsi="Times New Roman"/>
          <w:color w:val="000000"/>
          <w:sz w:val="24"/>
        </w:rPr>
        <w:t>”), and any such amendment shall become effective at 5:00 p.m. on the fifth Business Day after the Administrative Agent shall have posted such proposed amendment to all Purchasers, Ashland and the Seller unless, prior to such time, Purchasers comprising the Majority Group Agents have delivered to the Administrative Agent written notice that such Majority Group Agents object to such amendment.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(d) </w:t>
      </w:r>
      <w:r>
        <w:rPr>
          <w:rFonts w:ascii="Times New Roman" w:hAnsi="Times New Roman"/>
          <w:color w:val="000000"/>
          <w:sz w:val="24"/>
          <w:u w:val="single"/>
        </w:rPr>
        <w:t>Successor Rate</w:t>
      </w:r>
      <w:r>
        <w:rPr>
          <w:rFonts w:ascii="Times New Roman" w:hAnsi="Times New Roman"/>
          <w:color w:val="000000"/>
          <w:sz w:val="24"/>
        </w:rPr>
        <w:t>. The Administrative Agent will promptly (in one or more notices) notify Ashland and the Seller and each Purchaser of the implementation of any Successor Rate.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Successor Rate shall be applied in a manner consistent with market practice; provided that to the extent such market practice is not administratively feasible for the Administrative Agent, such Successor Rate shall be applied in a manner as otherwise reasonably determined by the Administrative Agent.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anything else herein, if at any time any Successor Rate as so determined would otherwise be less than zero%, the Successor Rate will be deemed to be zero% for the purposes of this Agreement and the other Transaction Documents.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connection with the implementation of a Successor Rate the Administrative Agent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provided that, with respect to any such amendment effected, the Administrative Agent shall post each such amendment implementing such Conforming Changes to Ashland, the Seller and the Purchasers reasonably promptly after such amendment becomes effective.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(e) For purposes of this </w:t>
      </w:r>
      <w:r>
        <w:rPr>
          <w:rFonts w:ascii="Times New Roman" w:hAnsi="Times New Roman"/>
          <w:color w:val="000000"/>
          <w:sz w:val="24"/>
          <w:u w:val="single"/>
        </w:rPr>
        <w:t>Section 4.05</w:t>
      </w:r>
      <w:r>
        <w:rPr>
          <w:rFonts w:ascii="Times New Roman" w:hAnsi="Times New Roman"/>
          <w:color w:val="000000"/>
          <w:sz w:val="24"/>
        </w:rPr>
        <w:t>, those Purchasers that either have not made, or do not have an obligation under this Agreement to make, the relevant Investments in the relevant Alternative Currency shall be excluded from any determination of Majority Group Agents.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4.06. </w:t>
      </w:r>
      <w:r>
        <w:rPr>
          <w:rFonts w:ascii="Times New Roman" w:hAnsi="Times New Roman"/>
          <w:color w:val="000000"/>
          <w:sz w:val="24"/>
          <w:u w:val="single"/>
        </w:rPr>
        <w:t>Illegality</w:t>
      </w:r>
      <w:r>
        <w:rPr>
          <w:rFonts w:ascii="Times New Roman" w:hAnsi="Times New Roman"/>
          <w:color w:val="000000"/>
          <w:sz w:val="24"/>
        </w:rPr>
        <w:t>. If, in any applicable jurisdiction, it becomes unlawful for a Purchaser to perform any of its obligations as contemplated by this Agreement or to fund, issue or maintain its participation in any Investments: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the relevant Group Agent shall promptly notify the Administrative Agent upon becoming aware of that event;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upon the Administrative Agent notifying the Seller, each Commitment of that Purchaser will be immediately cancelled;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to the extent that the Purchaser’s participation has not been transferred pursuant to Section 2.06, the Seller shall repay that Purchaser's Investments made to the Seller on the Settlement Date for each Investment occurring after the Administrative Agent has notified the Seller or, if earlier, the date specified by the Group Agent in the notice delivered to the Administrative Agent (being no earlier than the last day of any applicable grace period permitted by law) and that Purchaser's corresponding Commitment(s) shall be immediately cancelled in the amount of the participations repaid.</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V</w:t>
      </w:r>
    </w:p>
    <w:p>
      <w:pPr>
        <w:pStyle w:val="TextBody"/>
        <w:bidi w:val="0"/>
        <w:spacing w:before="240" w:after="283"/>
        <w:jc w:val="center"/>
        <w:rPr>
          <w:rFonts w:ascii="Times New Roman" w:hAnsi="Times New Roman"/>
          <w:sz w:val="24"/>
        </w:rPr>
      </w:pPr>
      <w:r>
        <w:rPr>
          <w:rFonts w:ascii="Times New Roman" w:hAnsi="Times New Roman"/>
          <w:b/>
          <w:color w:val="000000"/>
          <w:sz w:val="24"/>
        </w:rPr>
        <w:t>CONDITIONS</w:t>
      </w:r>
      <w:r>
        <w:rPr>
          <w:rFonts w:ascii="Times New Roman" w:hAnsi="Times New Roman"/>
          <w:color w:val="000000"/>
          <w:sz w:val="24"/>
        </w:rPr>
        <w:t xml:space="preserve"> </w:t>
      </w:r>
      <w:r>
        <w:rPr>
          <w:rFonts w:ascii="Times New Roman" w:hAnsi="Times New Roman"/>
          <w:b/>
          <w:color w:val="000000"/>
          <w:sz w:val="24"/>
        </w:rPr>
        <w:t>TO</w:t>
      </w:r>
      <w:r>
        <w:rPr>
          <w:rFonts w:ascii="Times New Roman" w:hAnsi="Times New Roman"/>
          <w:color w:val="000000"/>
          <w:sz w:val="24"/>
        </w:rPr>
        <w:t xml:space="preserve"> </w:t>
      </w:r>
      <w:r>
        <w:rPr>
          <w:rFonts w:ascii="Times New Roman" w:hAnsi="Times New Roman"/>
          <w:b/>
          <w:color w:val="000000"/>
          <w:sz w:val="24"/>
        </w:rPr>
        <w:t>EFFECTIVENESS</w:t>
      </w:r>
      <w:r>
        <w:rPr>
          <w:rFonts w:ascii="Times New Roman" w:hAnsi="Times New Roman"/>
          <w:color w:val="000000"/>
          <w:sz w:val="24"/>
        </w:rPr>
        <w:t xml:space="preserve"> </w:t>
      </w:r>
      <w:r>
        <w:rPr>
          <w:rFonts w:ascii="Times New Roman" w:hAnsi="Times New Roman"/>
          <w:b/>
          <w:color w:val="000000"/>
          <w:sz w:val="24"/>
        </w:rPr>
        <w:t>AND</w:t>
      </w:r>
      <w:r>
        <w:rPr>
          <w:rFonts w:ascii="Times New Roman" w:hAnsi="Times New Roman"/>
          <w:color w:val="000000"/>
          <w:sz w:val="24"/>
        </w:rPr>
        <w:t xml:space="preserve"> </w:t>
      </w:r>
      <w:r>
        <w:rPr>
          <w:rFonts w:ascii="Times New Roman" w:hAnsi="Times New Roman"/>
          <w:b/>
          <w:color w:val="000000"/>
          <w:sz w:val="24"/>
        </w:rPr>
        <w:t>INVESTMENTS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5.01. </w:t>
      </w:r>
      <w:r>
        <w:rPr>
          <w:rFonts w:ascii="Times New Roman" w:hAnsi="Times New Roman"/>
          <w:color w:val="000000"/>
          <w:sz w:val="24"/>
          <w:u w:val="single"/>
        </w:rPr>
        <w:t>Conditions Precedent to Effectiveness and the Initial Investment</w:t>
      </w:r>
      <w:r>
        <w:rPr>
          <w:rFonts w:ascii="Times New Roman" w:hAnsi="Times New Roman"/>
          <w:color w:val="000000"/>
          <w:sz w:val="24"/>
        </w:rPr>
        <w:t xml:space="preserve">. This Agreement shall become effective as of the Closing Date when (a) the Administrative Agent shall have received each of the documents, agreements (in fully executed form), opinions of counsel, lien search results, security filings, certificates and other deliverables listed on the closing memorandum attached as </w:t>
      </w:r>
      <w:r>
        <w:rPr>
          <w:rFonts w:ascii="Times New Roman" w:hAnsi="Times New Roman"/>
          <w:color w:val="000000"/>
          <w:sz w:val="24"/>
          <w:u w:val="single"/>
        </w:rPr>
        <w:t>Exhibit H</w:t>
      </w:r>
      <w:r>
        <w:rPr>
          <w:rFonts w:ascii="Times New Roman" w:hAnsi="Times New Roman"/>
          <w:color w:val="000000"/>
          <w:sz w:val="24"/>
        </w:rPr>
        <w:t xml:space="preserve"> hereto, in each case, in form and substance acceptable to the Administrative Agent and (b) all fees and expenses payable by the Seller on the Closing Date to the Purchaser Parties have been paid in full in accordance with the terms of the Transaction Documents.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5.02. </w:t>
      </w:r>
      <w:r>
        <w:rPr>
          <w:rFonts w:ascii="Times New Roman" w:hAnsi="Times New Roman"/>
          <w:color w:val="000000"/>
          <w:sz w:val="24"/>
          <w:u w:val="single"/>
        </w:rPr>
        <w:t>Conditions Precedent to All Investments</w:t>
      </w:r>
      <w:r>
        <w:rPr>
          <w:rFonts w:ascii="Times New Roman" w:hAnsi="Times New Roman"/>
          <w:color w:val="000000"/>
          <w:sz w:val="24"/>
        </w:rPr>
        <w:t>. Each Investment hereunder on or after the Closing Date shall be subject to the conditions precedent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the Seller shall have delivered to the Administrative Agent and the relevant Group Agent an Investment Request for such Investment;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the Servicer shall have delivered to the Administrative Agent and each Group Agent all Information Packages and Weekly Reports required to be delivered 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the conditions precedent to such Investment specified in Section 2.01(a)(i) through (v) shall be satisfied;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 on the date of such Investment the following statements shall be true and correct (and upon the occurrence of such Investment the Seller and the Servicer shall be deemed to have represented and warranted that such statements are then true and correct):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the representations and warranties of the Seller and the Servicer contained in the Master Framework Agreement are true and correct in all material respects on and as of the date of such Investment as though made on and as of such date unless such representations and warranties by their terms refer to an earlier date, in which case they shall be true and correct in all material respects on and as of such earlier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no Event of Termination or Unmatured Event of Termination has occurred and is continuing, and no Event of Termination or Unmatured Event of Termination would result from such Investment;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no Capital Coverage Deficit exists or would exist after giving effect to such Investment;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 the amounts drawn under the Subordinated Loan Agreement shall equal at least 5% of the Pool Receivables at all times;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(v) the Termination Date has not occurred.</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Section 5.03. </w:t>
      </w:r>
      <w:r>
        <w:rPr>
          <w:rFonts w:ascii="Times New Roman" w:hAnsi="Times New Roman"/>
          <w:color w:val="000000"/>
          <w:sz w:val="24"/>
          <w:u w:val="single"/>
        </w:rPr>
        <w:t>Conditions Precedent to All Releases.</w:t>
      </w:r>
      <w:r>
        <w:rPr>
          <w:rFonts w:ascii="Times New Roman" w:hAnsi="Times New Roman"/>
          <w:color w:val="000000"/>
          <w:sz w:val="24"/>
        </w:rPr>
        <w:t xml:space="preserve"> Each Release hereunder on or after the Closing Date shall be subject to the conditions precedent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after giving effect to such Release, the Servicer shall be holding in trust for the benefit of the Secured Parties an amount of Collections sufficient to pay the sum of (x) all accrued and unpaid Servicing Fees, Yield, Fees and indemnity payments due under Section 4.02, in each case, through the date of such Release, (y) the amount of any Capital Coverage Deficit and (z) the amount of all other accrued and unpaid Seller Obligations through the date of such Release;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the Seller shall use the proceeds of such Release together with the proceeds of any Subordinated Loan solely to pay the purchase price for Receivables purchased by the Seller in accordance with the terms of each Purchase and Sale Agreement; and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on the date of such Release the following statements shall be true and correct (and upon the occurrence of such Release, the Seller and the Servicer shall be deemed to have represented and warranted that such statements are then true and correct):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the representations and warranties of the Seller and the Servicer contained in the Master Framework Agreement are true and correct in all material respects on and as of the date of such Release as though made on and as of such date unless such representations and warranties by their terms refer to an earlier date, in which case they shall be true and correct in all material respects on and as of such earlier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no Event of Termination or Unmatured Event of Termination has occurred and is continuing, and no Event of Termination or Unmatured Event of Termination would result from such Release;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no Capital Coverage Deficit exists or would exist after giving effect to such Release;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 the amounts drawn under the Subordinated Loan Agreement shall equal at least 5% of the Pool Receivables of all times;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(v) the Termination Date has not occurred.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5.04. </w:t>
      </w:r>
      <w:r>
        <w:rPr>
          <w:rFonts w:ascii="Times New Roman" w:hAnsi="Times New Roman"/>
          <w:color w:val="000000"/>
          <w:sz w:val="24"/>
          <w:u w:val="single"/>
        </w:rPr>
        <w:t>Subordinated Loans</w:t>
      </w:r>
      <w:r>
        <w:rPr>
          <w:rFonts w:ascii="Times New Roman" w:hAnsi="Times New Roman"/>
          <w:color w:val="000000"/>
          <w:sz w:val="24"/>
        </w:rPr>
        <w:t>. Upon a request by the Seller pursuant to the terms of the Subordinated Loan Agreement, the Subordinated Lender shall grant Subordinated Loans in Euros or in one or more Alternative Currencies to the Seller on a revolving basis from time to time during the period from the Closing Date to the Termination Date. Subordinated Loans will be used together with Releases solely for the purpose of paying the purchase price for Receivables purchased by the Seller in accordance with the terms of the relevant Purchase and Sale Agreement.</w:t>
      </w:r>
    </w:p>
    <w:p>
      <w:pPr>
        <w:pStyle w:val="TextBody"/>
        <w:bidi w:val="0"/>
        <w:spacing w:before="240" w:after="283"/>
        <w:jc w:val="both"/>
        <w:rPr>
          <w:rFonts w:ascii="Times New Roman" w:hAnsi="Times New Roman"/>
          <w:sz w:val="24"/>
        </w:rPr>
      </w:pPr>
      <w:r>
        <w:rPr>
          <w:rFonts w:ascii="Times New Roman" w:hAnsi="Times New Roman"/>
          <w:color w:val="000000"/>
          <w:sz w:val="24"/>
        </w:rPr>
        <w:t>Section 5.05.</w:t>
      </w:r>
      <w:r>
        <w:rPr>
          <w:rFonts w:ascii="Times New Roman" w:hAnsi="Times New Roman"/>
          <w:color w:val="000000"/>
          <w:sz w:val="24"/>
          <w:u w:val="single"/>
        </w:rPr>
        <w:t>Separate Existence of the Seller</w:t>
      </w:r>
      <w:r>
        <w:rPr>
          <w:rFonts w:ascii="Times New Roman" w:hAnsi="Times New Roman"/>
          <w:color w:val="000000"/>
          <w:sz w:val="24"/>
        </w:rPr>
        <w:t>. Each of the Seller and the Servicer hereby acknowledges that the Secured Parties, the Group Agents and the Administrative Agent are entering into the transactions contemplated by this Agreement and the other Transaction Documents in reliance upon the Seller’s identity as a legal entity separate from any Originator, the Servicer, any Performance Guarantor and their Affiliates. Therefore, each of the Seller and Servicer shall take all steps specifically required by this Agreement or reasonably required by the Administrative Agent or any Group Agent to continue the Seller’s identity as a separate legal entity and to make it apparent to third Persons that the Seller is an entity with assets and liabilities distinct from those of the Performance Guarantor, the Originators, the Servicer and any other Person, and is not a division of the Performance Guarantor, the Originators, the Servicer, its Affiliates or any other Person. Without limiting the generality of the foregoing and in addition to and consistent with the other covenants set forth herein, each of the Seller and the Servicer shall take such actions as shall be required in order that: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Special Purpose Entity</w:t>
      </w:r>
      <w:r>
        <w:rPr>
          <w:rFonts w:ascii="Times New Roman" w:hAnsi="Times New Roman"/>
          <w:color w:val="000000"/>
          <w:sz w:val="24"/>
        </w:rPr>
        <w:t>. The Seller will be a special purpose company wholly-owned by the Parent whose primary activities are restricted in its constitution.</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No Other Business or Debt</w:t>
      </w:r>
      <w:r>
        <w:rPr>
          <w:rFonts w:ascii="Times New Roman" w:hAnsi="Times New Roman"/>
          <w:color w:val="000000"/>
          <w:sz w:val="24"/>
        </w:rPr>
        <w:t xml:space="preserve">. The Seller shall not engage in any business or activity except as set forth in this Agreement and the other Transaction Documents nor, incur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indebtedness or liability other than as expressly permitted by the Transaction Documents. The Seller shall not have any employees.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 xml:space="preserve">Independent Director. </w:t>
      </w:r>
      <w:r>
        <w:rPr>
          <w:rFonts w:ascii="Times New Roman" w:hAnsi="Times New Roman"/>
          <w:color w:val="000000"/>
          <w:sz w:val="24"/>
        </w:rPr>
        <w:t>Not fewer than one member of the Seller’s board of directors (the “</w:t>
      </w:r>
      <w:r>
        <w:rPr>
          <w:rFonts w:ascii="Times New Roman" w:hAnsi="Times New Roman"/>
          <w:color w:val="000000"/>
          <w:sz w:val="24"/>
          <w:u w:val="single"/>
        </w:rPr>
        <w:t>Independent Director</w:t>
      </w:r>
      <w:r>
        <w:rPr>
          <w:rFonts w:ascii="Times New Roman" w:hAnsi="Times New Roman"/>
          <w:color w:val="000000"/>
          <w:sz w:val="24"/>
        </w:rPr>
        <w:t xml:space="preserve">”) shall be a natural person who (i) has never been, and shall at no time be, an equity holder, director, officer, manager, member, partner, officer, employee or associate, or any relative of the foregoing, of any member of the Ashland Group (as hereinafter defined) (other than his or her service as an Independent Director of the Seller or an independent director of any other bankruptcy-remote special purpose entity formed for the sole purpose of securitizing, or facilitating the securitization of, financial assets of any member or members of the Ashland Group), (ii) is not a customer or supplier of any member of the Ashland Group (other than his or her service as an Independent Director of the Seller or an independent director of any other bankruptcy-remote special purpose entity formed for the sole purpose of securitizing, or facilitating the securitization of, financial assets of any member or members of the Ashland Group), (iii) is not any member of the immediate family of a person described in </w:t>
      </w:r>
      <w:r>
        <w:rPr>
          <w:rFonts w:ascii="Times New Roman" w:hAnsi="Times New Roman"/>
          <w:color w:val="000000"/>
          <w:sz w:val="24"/>
          <w:u w:val="single"/>
        </w:rPr>
        <w:t>(i)</w:t>
      </w:r>
      <w:r>
        <w:rPr>
          <w:rFonts w:ascii="Times New Roman" w:hAnsi="Times New Roman"/>
          <w:color w:val="000000"/>
          <w:sz w:val="24"/>
        </w:rPr>
        <w:t xml:space="preserve"> or </w:t>
      </w:r>
      <w:r>
        <w:rPr>
          <w:rFonts w:ascii="Times New Roman" w:hAnsi="Times New Roman"/>
          <w:color w:val="000000"/>
          <w:sz w:val="24"/>
          <w:u w:val="single"/>
        </w:rPr>
        <w:t>(ii)</w:t>
      </w:r>
      <w:r>
        <w:rPr>
          <w:rFonts w:ascii="Times New Roman" w:hAnsi="Times New Roman"/>
          <w:color w:val="000000"/>
          <w:sz w:val="24"/>
        </w:rPr>
        <w:t xml:space="preserve"> above, and (iv) has (x) prior experience as an independent director for a corporation or limited liability company whose organizational or charter documents required the unanimous consent of all independent directors thereof before such corporation or limited liability company could consent to the institution of bankruptcy or insolvency proceedings against it or could file a petition seeking relief under any applicable federal or state law relating to bankruptcy and (y) at least three years of employment experience with one or more entities that provide, in the ordinary course of their respective businesses, advisory, management or placement services to issuers of securitization or structured finance instruments, agreements or securities. For purposes of this clause (c), “</w:t>
      </w:r>
      <w:r>
        <w:rPr>
          <w:rFonts w:ascii="Times New Roman" w:hAnsi="Times New Roman"/>
          <w:color w:val="000000"/>
          <w:sz w:val="24"/>
          <w:u w:val="single"/>
        </w:rPr>
        <w:t>Ashland Group</w:t>
      </w:r>
      <w:r>
        <w:rPr>
          <w:rFonts w:ascii="Times New Roman" w:hAnsi="Times New Roman"/>
          <w:color w:val="000000"/>
          <w:sz w:val="24"/>
        </w:rPr>
        <w:t xml:space="preserve">” shall mean (i) Ashland, the Parent, the Servicer, each Performance Guarantor and each Originator, (ii) each person that directly or indirectly, owns or controls, whether beneficially, or as a trustee, guardian or other fiduciary, five percent (5%) or more of the membership interests in Ashland, (iii) each person that controls, is controlled by or is under common control with Ashland and (iv) each of such person’s officers, directors, managers, joint venturers and partners. For the purposes of this definition, “control” of a person means the possession, directly or indirectly, of the power to direct or cause the direction of the management and policies of a person or entity, whether through the ownership of voting securities, by contract or otherwise. A person shall be deemed to be an “associate” of (A) a corporation or organization of which such person is an officer, director, partner or manager or is, directly or indirectly, the beneficial owner of ten percent (10%) or more of any class of equity securities, (B) any trust or other estate in which such person serves as trustee or in a similar capacity and (C) any relative or spouse of a person described in </w:t>
      </w:r>
      <w:r>
        <w:rPr>
          <w:rFonts w:ascii="Times New Roman" w:hAnsi="Times New Roman"/>
          <w:color w:val="000000"/>
          <w:sz w:val="24"/>
          <w:u w:val="single"/>
        </w:rPr>
        <w:t>clause (A)</w:t>
      </w:r>
      <w:r>
        <w:rPr>
          <w:rFonts w:ascii="Times New Roman" w:hAnsi="Times New Roman"/>
          <w:color w:val="000000"/>
          <w:sz w:val="24"/>
        </w:rPr>
        <w:t xml:space="preserve"> or </w:t>
      </w:r>
      <w:r>
        <w:rPr>
          <w:rFonts w:ascii="Times New Roman" w:hAnsi="Times New Roman"/>
          <w:color w:val="000000"/>
          <w:sz w:val="24"/>
          <w:u w:val="single"/>
        </w:rPr>
        <w:t>(B)</w:t>
      </w:r>
      <w:r>
        <w:rPr>
          <w:rFonts w:ascii="Times New Roman" w:hAnsi="Times New Roman"/>
          <w:color w:val="000000"/>
          <w:sz w:val="24"/>
        </w:rPr>
        <w:t xml:space="preserve"> of this sentence, or any relative of such spouse.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Seller shall (A) give written notice to the Administrative Agent of the election or appointment, or proposed election or appointment, of a new Independent Director of the Seller, which notice shall be given not later than ten (10) Business Days prior to the date such appointment or election would be effective (except when such election or appointment is necessary to fill a vacancy caused by the death, disability, or incapacity of the existing Independent Director, or the failure of such Independent Director to satisfy the criteria for an Independent Director set forth in this clause (c), in which case the Seller shall provide written notice of such election or appointment within one (1) Business Day) and (B) with any such written notice, certify to the Administrative Agent that the Independent Director satisfies the criteria for an Independent Director set forth in this clause (c).</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Seller shall not approve, or take any other action to cause the filing of, a voluntary bankruptcy petition with respect to the Seller unless the Independent Director shall approve the taking of such action in writing before the taking of such action.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Independent Director shall not at any time serve as a trustee in bankruptcy for the Seller, the Parent, Ashland, any Performance Guarantor, any Originator, the Servicer or any of their respective Affiliates.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Seller shall have a board of directors separate from that of the Servicer, the Parent, Ashland, the Performance Guarantor, the Originators and any Affiliates thereof.</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(d) </w:t>
      </w:r>
      <w:r>
        <w:rPr>
          <w:rFonts w:ascii="Times New Roman" w:hAnsi="Times New Roman"/>
          <w:color w:val="000000"/>
          <w:sz w:val="24"/>
          <w:u w:val="single"/>
        </w:rPr>
        <w:t>Constitutional Documents</w:t>
      </w:r>
      <w:r>
        <w:rPr>
          <w:rFonts w:ascii="Times New Roman" w:hAnsi="Times New Roman"/>
          <w:color w:val="000000"/>
          <w:sz w:val="24"/>
        </w:rPr>
        <w:t>. The Seller shall maintain its constitutional documents in conformity with this Agreement, such that it does not amend, restate, supplement or otherwise modify its ability to comply with the terms and provisions of any of the Transaction Documents, including, without limitation, paragraph (o) (</w:t>
      </w:r>
      <w:r>
        <w:rPr>
          <w:rFonts w:ascii="Times New Roman" w:hAnsi="Times New Roman"/>
          <w:i/>
          <w:color w:val="000000"/>
          <w:sz w:val="24"/>
        </w:rPr>
        <w:t>Security Interest, Etc.</w:t>
      </w:r>
      <w:r>
        <w:rPr>
          <w:rFonts w:ascii="Times New Roman" w:hAnsi="Times New Roman"/>
          <w:color w:val="000000"/>
          <w:sz w:val="24"/>
        </w:rPr>
        <w:t>) of Schedule 4 (</w:t>
      </w:r>
      <w:r>
        <w:rPr>
          <w:rFonts w:ascii="Times New Roman" w:hAnsi="Times New Roman"/>
          <w:i/>
          <w:color w:val="000000"/>
          <w:sz w:val="24"/>
        </w:rPr>
        <w:t>Covenants</w:t>
      </w:r>
      <w:r>
        <w:rPr>
          <w:rFonts w:ascii="Times New Roman" w:hAnsi="Times New Roman"/>
          <w:color w:val="000000"/>
          <w:sz w:val="24"/>
        </w:rPr>
        <w:t>) Part 1 (</w:t>
      </w:r>
      <w:r>
        <w:rPr>
          <w:rFonts w:ascii="Times New Roman" w:hAnsi="Times New Roman"/>
          <w:i/>
          <w:color w:val="000000"/>
          <w:sz w:val="24"/>
        </w:rPr>
        <w:t>Covenants of the Seller</w:t>
      </w:r>
      <w:r>
        <w:rPr>
          <w:rFonts w:ascii="Times New Roman" w:hAnsi="Times New Roman"/>
          <w:color w:val="000000"/>
          <w:sz w:val="24"/>
        </w:rPr>
        <w:t>) of the Master Framework Agreement.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(e) </w:t>
      </w:r>
      <w:r>
        <w:rPr>
          <w:rFonts w:ascii="Times New Roman" w:hAnsi="Times New Roman"/>
          <w:color w:val="000000"/>
          <w:sz w:val="24"/>
          <w:u w:val="single"/>
        </w:rPr>
        <w:t>Conduct of Business</w:t>
      </w:r>
      <w:r>
        <w:rPr>
          <w:rFonts w:ascii="Times New Roman" w:hAnsi="Times New Roman"/>
          <w:color w:val="000000"/>
          <w:sz w:val="24"/>
        </w:rPr>
        <w:t>. The Seller shall conduct its affairs strictly in accordance with its organizational documents and observe all necessary, appropriate and customary company formalities, including, but not limited to, causing its board of directors to meet at least three times per annum and keep minutes of such meetings and actions and observe all other corporate and other legal formalities, holding all other regular and special members’ and board of directors’ meetings appropriate to authorize all company action, keeping separate and accurate minutes of its meetings, passing all resolutions or consents necessary to authorize actions taken or to be taken, and maintaining accurate and separate books, records and accounts, including, but not limited to, payroll and intercompany transaction accounts.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(f) </w:t>
      </w:r>
      <w:r>
        <w:rPr>
          <w:rFonts w:ascii="Times New Roman" w:hAnsi="Times New Roman"/>
          <w:color w:val="000000"/>
          <w:sz w:val="24"/>
          <w:u w:val="single"/>
        </w:rPr>
        <w:t>Compensation</w:t>
      </w:r>
      <w:r>
        <w:rPr>
          <w:rFonts w:ascii="Times New Roman" w:hAnsi="Times New Roman"/>
          <w:color w:val="000000"/>
          <w:sz w:val="24"/>
        </w:rPr>
        <w:t>. The Seller shall have no employees. The Seller shall not engage any agents other than its attorneys, auditors and other professionals, and a servicer and any other agent contemplated by the Transaction Documents for the Receivables Pool, which servicer will be fully compensated for its services by payment of the Servicing Fee.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(g) </w:t>
      </w:r>
      <w:r>
        <w:rPr>
          <w:rFonts w:ascii="Times New Roman" w:hAnsi="Times New Roman"/>
          <w:color w:val="000000"/>
          <w:sz w:val="24"/>
          <w:u w:val="single"/>
        </w:rPr>
        <w:t>Servicing and Costs</w:t>
      </w:r>
      <w:r>
        <w:rPr>
          <w:rFonts w:ascii="Times New Roman" w:hAnsi="Times New Roman"/>
          <w:color w:val="000000"/>
          <w:sz w:val="24"/>
        </w:rPr>
        <w:t>. The Seller will contract with the Servicer to perform for the Seller all operations required on a daily basis to service the Receivables Pool. The Seller will not incur any indirect or overhead expenses for items shared with the Servicer (or any other Affiliate thereof) that are not reflected in the Servicing Fee. To the extent, if any, that the Seller (or any Affiliate thereof) shares items of expenses not reflected in the Servicing Fee, such as legal, auditing and other professional services, such expenses will be allocated to the extent practical on the basis of actual use or the value of services rendered, and otherwise on a basis reasonably related to the actual use or the value of services rendered. The Seller shall at all times allocate and charge fairly and reasonably any common overhead shared with any persons.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(h) </w:t>
      </w:r>
      <w:r>
        <w:rPr>
          <w:rFonts w:ascii="Times New Roman" w:hAnsi="Times New Roman"/>
          <w:color w:val="000000"/>
          <w:sz w:val="24"/>
          <w:u w:val="single"/>
        </w:rPr>
        <w:t>Operating Expenses</w:t>
      </w:r>
      <w:r>
        <w:rPr>
          <w:rFonts w:ascii="Times New Roman" w:hAnsi="Times New Roman"/>
          <w:color w:val="000000"/>
          <w:sz w:val="24"/>
        </w:rPr>
        <w:t>. Other than with respect to initial organization expenses, the Seller’s operating expenses will not be paid by the Servicer, the Parent, Ashland, any Performance Guarantor, any Originator or any Affiliate thereof.</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 </w:t>
      </w:r>
      <w:r>
        <w:rPr>
          <w:rFonts w:ascii="Times New Roman" w:hAnsi="Times New Roman"/>
          <w:color w:val="000000"/>
          <w:sz w:val="24"/>
          <w:u w:val="single"/>
        </w:rPr>
        <w:t>Invoices, Stationary, Cheques</w:t>
      </w:r>
      <w:r>
        <w:rPr>
          <w:rFonts w:ascii="Times New Roman" w:hAnsi="Times New Roman"/>
          <w:color w:val="000000"/>
          <w:sz w:val="24"/>
        </w:rPr>
        <w:t>. The Seller will conduct business in its own name, using separate invoices, stationary and cheques.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(j) </w:t>
      </w:r>
      <w:r>
        <w:rPr>
          <w:rFonts w:ascii="Times New Roman" w:hAnsi="Times New Roman"/>
          <w:color w:val="000000"/>
          <w:sz w:val="24"/>
          <w:u w:val="single"/>
        </w:rPr>
        <w:t>Books and Records</w:t>
      </w:r>
      <w:r>
        <w:rPr>
          <w:rFonts w:ascii="Times New Roman" w:hAnsi="Times New Roman"/>
          <w:color w:val="000000"/>
          <w:sz w:val="24"/>
        </w:rPr>
        <w:t>. The Seller’s books and records will be maintained separately from those of the Servicer, the Parent, Ashland, the Performance Guarantor, the Originators and any of their Affiliates and in a manner such that it will not be difficult or costly to segregate, ascertain or otherwise identify the assets and liabilities of the Seller.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(k) </w:t>
      </w:r>
      <w:r>
        <w:rPr>
          <w:rFonts w:ascii="Times New Roman" w:hAnsi="Times New Roman"/>
          <w:color w:val="000000"/>
          <w:sz w:val="24"/>
          <w:u w:val="single"/>
        </w:rPr>
        <w:t>Disclosure of Transactions</w:t>
      </w:r>
      <w:r>
        <w:rPr>
          <w:rFonts w:ascii="Times New Roman" w:hAnsi="Times New Roman"/>
          <w:color w:val="000000"/>
          <w:sz w:val="24"/>
        </w:rPr>
        <w:t>. All financial statements of the Servicer, the Parent, Ashland, the Performance Guarantor, the Originators or any Affiliate thereof that are consolidated to include the Seller will disclose that (i) the Seller’s sole business consists of the purchase or acceptance through capital contributions of the Receivables and Related Rights from the Originators and the subsequent retransfer of or granting of a security interest in such Receivables and Related Rights to the Administrative Agent pursuant to this Agreement, (ii) the Seller is a separate legal entity with its own separate creditors who will be entitled, upon its liquidation, to be satisfied out of the Seller’s assets prior to any assets or value in the Seller becoming available to the Seller’s equity holders, Ashland and (iii) the assets of the Seller are not available to pay creditors of the Servicer, the Parent, the Performance Guarantor, the Originators or any Affiliate thereof.</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(l) </w:t>
      </w:r>
      <w:r>
        <w:rPr>
          <w:rFonts w:ascii="Times New Roman" w:hAnsi="Times New Roman"/>
          <w:color w:val="000000"/>
          <w:sz w:val="24"/>
          <w:u w:val="single"/>
        </w:rPr>
        <w:t>Segregation of Assets</w:t>
      </w:r>
      <w:r>
        <w:rPr>
          <w:rFonts w:ascii="Times New Roman" w:hAnsi="Times New Roman"/>
          <w:color w:val="000000"/>
          <w:sz w:val="24"/>
        </w:rPr>
        <w:t>. The Seller’s assets will be maintained in a manner that facilitates their identification and segregation from those of the Servicer, the Parent, Ashland, the Performance Guarantor, the Originators or any Affiliates thereof.</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(m) </w:t>
      </w:r>
      <w:r>
        <w:rPr>
          <w:rFonts w:ascii="Times New Roman" w:hAnsi="Times New Roman"/>
          <w:color w:val="000000"/>
          <w:sz w:val="24"/>
          <w:u w:val="single"/>
        </w:rPr>
        <w:t>Corporate Formalities</w:t>
      </w:r>
      <w:r>
        <w:rPr>
          <w:rFonts w:ascii="Times New Roman" w:hAnsi="Times New Roman"/>
          <w:color w:val="000000"/>
          <w:sz w:val="24"/>
        </w:rPr>
        <w:t>. The Seller will strictly observe limited liability company formalities in its dealings with the Servicer, the Parent, Ashland, the Performance Guarantor, the Originators or any Affiliates thereof, and funds or other assets of the Seller will not be commingled with those of the Servicer, the Parent, Ashland, the Performance Guarantor, the Originators or any Affiliates thereof except as permitted by this Agreement in connection with servicing the Pool Receivables. The Seller shall not maintain joint bank accounts or other depository accounts to which the Servicer, the Parent, Ashland, the Performance Guarantor, the Originators or any Affiliate thereof (other than the Servicer solely in its capacity as such) has independent access. The Seller is not named, and has not entered into any agreement to be named, directly or indirectly, as a direct or contingent beneficiary or loss payee on any insurance policy with respect to any loss relating to the property of the Servicer, the Parent, Ashland, the Performance Guarantor, the Originators or any Subsidiaries or other Affiliates thereof. The Seller will pay to the appropriate Affiliate the marginal increase or, in the absence of such increase, the market amount of its portion of the premium payable with respect to any insurance policy that covers the Seller and such Affiliate.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(n) </w:t>
      </w:r>
      <w:r>
        <w:rPr>
          <w:rFonts w:ascii="Times New Roman" w:hAnsi="Times New Roman"/>
          <w:color w:val="000000"/>
          <w:sz w:val="24"/>
          <w:u w:val="single"/>
        </w:rPr>
        <w:t>Arm’s-Length Relationships</w:t>
      </w:r>
      <w:r>
        <w:rPr>
          <w:rFonts w:ascii="Times New Roman" w:hAnsi="Times New Roman"/>
          <w:color w:val="000000"/>
          <w:sz w:val="24"/>
        </w:rPr>
        <w:t>. The Seller will maintain arm’s-length relationships with the Servicer, the Parent, Ashland, the Performance Guarantor, the Originators and any Affiliates thereof. Any Person that renders or otherwise furnishes services to the Seller will be compensated by the Seller at market rates for such services it renders or otherwise furnishes to the Seller. Neither the Seller on the one hand, nor the Servicer, the Parent, Ashland, the Performance Guarantor, any Originator or any Affiliate thereof, on the other hand, will be or will hold itself out to be responsible for the debts of the other or the decisions or actions respecting the daily business and affairs of the other. The Seller, the Parent, Ashland, the Servicer, the Performance Guarantor, the Originators and their respective Affiliates will immediately correct any known misrepresentation with respect to the foregoing, and they will not operate or purport to operate as an integrated single economic unit with respect to each other or in their dealing with any other entity.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(o) </w:t>
      </w:r>
      <w:r>
        <w:rPr>
          <w:rFonts w:ascii="Times New Roman" w:hAnsi="Times New Roman"/>
          <w:color w:val="000000"/>
          <w:sz w:val="24"/>
          <w:u w:val="single"/>
        </w:rPr>
        <w:t>Separateness.</w:t>
      </w:r>
      <w:r>
        <w:rPr>
          <w:rFonts w:ascii="Times New Roman" w:hAnsi="Times New Roman"/>
          <w:color w:val="000000"/>
          <w:sz w:val="24"/>
        </w:rPr>
        <w:t xml:space="preserve"> The Seller will correct any known misunderstanding regarding its separate identity and will generally carry on its business and manage its affairs as an identifiable business separate and identifiable from the business of each of the Servicer, the Parent, Ashland, the Performance Guarantor, the Originators, any Affiliates thereof and any other person. The Seller shall hold itself out to creditors and the public as a legal entity separate and distinct from the Servicer, the Parent, Ashland, the Performance Guarantor, the Originators, any Affiliates thereof and any other person. The Seller shall not hold out its credit or assets as being available to satisfy the obligations of other persons (except as otherwise contemplated by the Transaction Documents) and shall not assume, guarantee or pay the debts or obligations of any other person or otherwise pledge its assets for the benefit of any other person (except as otherwise contemplated by the Transaction Documents).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(p) </w:t>
      </w:r>
      <w:r>
        <w:rPr>
          <w:rFonts w:ascii="Times New Roman" w:hAnsi="Times New Roman"/>
          <w:color w:val="000000"/>
          <w:sz w:val="24"/>
          <w:u w:val="single"/>
        </w:rPr>
        <w:t>General.</w:t>
      </w:r>
      <w:r>
        <w:rPr>
          <w:rFonts w:ascii="Times New Roman" w:hAnsi="Times New Roman"/>
          <w:color w:val="000000"/>
          <w:sz w:val="24"/>
        </w:rPr>
        <w:t xml:space="preserve"> The Seller shall cause its board of directors and any officers, managers, agents and other representatives to act at all times with respect to the Seller in furtherance of the foregoing.</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 xml:space="preserve">ARTICLE VI </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ADMINISTRATION AND COLLECTION</w:t>
      </w:r>
    </w:p>
    <w:p>
      <w:pPr>
        <w:pStyle w:val="TextBody"/>
        <w:bidi w:val="0"/>
        <w:jc w:val="center"/>
        <w:rPr>
          <w:rFonts w:ascii="Times New Roman" w:hAnsi="Times New Roman"/>
          <w:b/>
          <w:color w:val="000000"/>
          <w:sz w:val="24"/>
        </w:rPr>
      </w:pPr>
      <w:r>
        <w:rPr>
          <w:rFonts w:ascii="Times New Roman" w:hAnsi="Times New Roman"/>
          <w:b/>
          <w:color w:val="000000"/>
          <w:sz w:val="24"/>
        </w:rPr>
        <w:t>OF RECEIVABLES</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Section 6.01. </w:t>
      </w:r>
      <w:r>
        <w:rPr>
          <w:rFonts w:ascii="Times New Roman" w:hAnsi="Times New Roman"/>
          <w:color w:val="000000"/>
          <w:sz w:val="24"/>
          <w:u w:val="single"/>
        </w:rPr>
        <w:t>Appointment of the Servicer.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The servicing, administering and collection of the Pool Receivables shall be conducted by the Person so designated from time to time as the Servicer in accordance with this </w:t>
      </w:r>
      <w:r>
        <w:rPr>
          <w:rFonts w:ascii="Times New Roman" w:hAnsi="Times New Roman"/>
          <w:color w:val="000000"/>
          <w:sz w:val="24"/>
          <w:u w:val="single"/>
        </w:rPr>
        <w:t>Section 6.01</w:t>
      </w:r>
      <w:r>
        <w:rPr>
          <w:rFonts w:ascii="Times New Roman" w:hAnsi="Times New Roman"/>
          <w:color w:val="000000"/>
          <w:sz w:val="24"/>
        </w:rPr>
        <w:t xml:space="preserve"> Until the Administrative Agent gives notice to Ashland (in accordance with this </w:t>
      </w:r>
      <w:r>
        <w:rPr>
          <w:rFonts w:ascii="Times New Roman" w:hAnsi="Times New Roman"/>
          <w:color w:val="000000"/>
          <w:sz w:val="24"/>
          <w:u w:val="single"/>
        </w:rPr>
        <w:t>Section 6.01</w:t>
      </w:r>
      <w:r>
        <w:rPr>
          <w:rFonts w:ascii="Times New Roman" w:hAnsi="Times New Roman"/>
          <w:color w:val="000000"/>
          <w:sz w:val="24"/>
        </w:rPr>
        <w:t>) of the designation of a new Servicer, the Parent is hereby designated as, and hereby agrees to perform the duties and obligations of, the Servicer pursuant to the terms hereof and the Parent shall consult with the German Originator in relation to the servicing and the administering of the Pool Receivables thereby involving the German Originator in the managing of the transaction. Upon the occurrence of a Servicer Default, the Administrative Agent may (with the consent of the Majority Group Agents) and shall (at the direction of the Majority Group Agents) designate as Servicer any Person (including itself) to succeed the Parent or any successor Servicer, on the condition in each case that any such Person so designated shall agree to perform the duties and obligations of the Servicer pursuant to the terms 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Collection of Italian Receivables to be made in accordance with this Article VI shall in any case be made in compliance with the provisions of Italian law (including article 115 of the Italian Consolidated Act of Public Safety Laws, where applicable).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(c) Upon the designation of a successor Servicer as set forth in </w:t>
      </w:r>
      <w:r>
        <w:rPr>
          <w:rFonts w:ascii="Times New Roman" w:hAnsi="Times New Roman"/>
          <w:color w:val="000000"/>
          <w:sz w:val="24"/>
          <w:u w:val="single"/>
        </w:rPr>
        <w:t>clause (a)</w:t>
      </w:r>
      <w:r>
        <w:rPr>
          <w:rFonts w:ascii="Times New Roman" w:hAnsi="Times New Roman"/>
          <w:color w:val="000000"/>
          <w:sz w:val="24"/>
        </w:rPr>
        <w:t xml:space="preserve"> above, the Parent agrees that it will terminate its activities as Servicer hereunder in a manner that the Administrative Agent reasonably determines will facilitate the transition of the performance of such activities to the new Servicer, and the Parent shall cooperate with and assist such new Servicer. Such cooperation shall include access to and transfer of records (including all Contracts) related to Pool Receivables and use by the new Servicer of all licenses (or the obtaining of new licenses), hardware or software necessary or reasonably desirable to collect the Pool Receivables and the Related Security.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 The Parent acknowledges that, in making its decision to execute and deliver this Agreement, the Administrative Agent and each member in each Group have relied on the Parent's agreement to act as Servicer hereunder. Accordingly, the Parent agrees that it will not voluntarily resign as Servicer without the prior written consent of the Administrative Agent and the Majority Group Agents.</w:t>
      </w:r>
    </w:p>
    <w:p>
      <w:pPr>
        <w:pStyle w:val="TextBody"/>
        <w:bidi w:val="0"/>
        <w:spacing w:before="240" w:after="283"/>
        <w:jc w:val="both"/>
        <w:rPr>
          <w:rFonts w:ascii="Times New Roman" w:hAnsi="Times New Roman"/>
          <w:sz w:val="24"/>
        </w:rPr>
      </w:pPr>
      <w:r>
        <w:rPr>
          <w:rFonts w:ascii="Times New Roman" w:hAnsi="Times New Roman"/>
          <w:color w:val="000000"/>
          <w:sz w:val="24"/>
        </w:rPr>
        <w:t>(e) The Servicer may delegate its duties and obligations hereunder to any sub-servicer (each a “</w:t>
      </w:r>
      <w:r>
        <w:rPr>
          <w:rFonts w:ascii="Times New Roman" w:hAnsi="Times New Roman"/>
          <w:color w:val="000000"/>
          <w:sz w:val="24"/>
          <w:u w:val="single"/>
        </w:rPr>
        <w:t>Sub-Servicer</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that, in each such delegation: (i) such Sub-Servicer shall agree in writing to perform the delegated duties and obligations of the Servicer pursuant to the terms hereof, (ii) the Servicer shall remain liable for the performance of the duties and obligations so delegated, (iii) the Seller, the Administrative Agent, each Purchaser and each Group Agent shall have the right to look solely to the Servicer for performance, (iv) the terms of any agreement with any Sub-Servicer shall provide that the Administrative Agent may terminate such agreement upon the termination of the Servicer hereunder by giving notice of its desire to terminate such agreement to the Servicer (and the Servicer shall provide appropriate notice to each such Sub-Servicer); (v) if such Sub-Servicer is not an Affiliate of Ashland, the Administrative Agent and the Majority Group Agents shall have consented in writing in advance to such delegation and (vi) the delegation will not cause the Seller to become subject to net income taxation in any jurisdiction other than Ireland or cause any other material adverse tax consequences for the Seller.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 The parties acknowledge and agree that (i) the Pool Receivables originated by the German Originator have been or will be (as the case may be) sold, assigned and transferred to the Seller on a servicing-retained basis pursuant to the German Purchase and Sale Agreement, (ii) the German Originator retains the servicing of the Pool Receivables and in accordance with the terms of the German Purchase and Sale Agreement and (iii) therefore, the German Originator is not a Sub-Servicer of the Seller or the Servicer for such purpose. Notwithstanding the foregoing, the Servicer shall remain liable towards the Seller to ensure that such Pool Receivables are serviced and collected (including by the German Originator) in accordance with the terms of this Agreement, and the Seller, the Administrative Agent and each Purchaser shall have the right to look solely to the Servicer for performance of such servicing and collection responsibilities undertaken by the German Originator, in each case, to the same extent as if the German Originator were a Sub-Servicer with respect to such Pool Receivables.</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Section 6.02. </w:t>
      </w:r>
      <w:r>
        <w:rPr>
          <w:rFonts w:ascii="Times New Roman" w:hAnsi="Times New Roman"/>
          <w:color w:val="000000"/>
          <w:sz w:val="24"/>
          <w:u w:val="single"/>
        </w:rPr>
        <w:t>Duties of the Servicer</w:t>
      </w:r>
      <w:r>
        <w:rPr>
          <w:rFonts w:ascii="Times New Roman" w:hAnsi="Times New Roman"/>
          <w:color w:val="000000"/>
          <w:sz w:val="24"/>
        </w:rPr>
        <w: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The Servicer shall take or cause to be taken all such action as may be necessary or reasonably advisable to service, administer and collect each Pool Receivable from time to time, all in accordance with this Agreement and all Applicable Laws, with reasonable care and diligence, and in accordance with the Credit and Collection Policy and consistent with the past practices of the Originators. The Servicer shall set aside, for the accounts of each Group, the amount of Collections to which each such Group is entitled in accordance with </w:t>
      </w:r>
      <w:r>
        <w:rPr>
          <w:rFonts w:ascii="Times New Roman" w:hAnsi="Times New Roman"/>
          <w:color w:val="000000"/>
          <w:sz w:val="24"/>
          <w:u w:val="single"/>
        </w:rPr>
        <w:t>Article III</w:t>
      </w:r>
      <w:r>
        <w:rPr>
          <w:rFonts w:ascii="Times New Roman" w:hAnsi="Times New Roman"/>
          <w:color w:val="000000"/>
          <w:sz w:val="24"/>
        </w:rPr>
        <w:t xml:space="preserve"> hereof. The Servicer may, in accordance with the Credit and Collection Policy and consistent with past practices of the Originators, take such action, including modifications, waivers or restructurings of Pool Receivables and related Contracts, as the Servicer may reasonably determine to be appropriate to maximize Collections thereof or reflect adjustments expressly permitted under the Credit and Collection Policy or as expressly required under Applicable Laws or the applicable Contract; </w:t>
      </w:r>
      <w:r>
        <w:rPr>
          <w:rFonts w:ascii="Times New Roman" w:hAnsi="Times New Roman"/>
          <w:color w:val="000000"/>
          <w:sz w:val="24"/>
          <w:u w:val="single"/>
        </w:rPr>
        <w:t>provided</w:t>
      </w:r>
      <w:r>
        <w:rPr>
          <w:rFonts w:ascii="Times New Roman" w:hAnsi="Times New Roman"/>
          <w:color w:val="000000"/>
          <w:sz w:val="24"/>
        </w:rPr>
        <w:t xml:space="preserve">, that for purposes of this Agreement: (i) such action shall not, and shall not be deemed to, change the number of days such Pool Receivable has remained unpaid from the date of the original due date related to such Pool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Receivable (other than for the purposes of determination of the Receivable as a Short-Term Re-Aged Receivable and/or a Long-Term Re-Aged Receivable (as applicable)), (ii) such action shall not alter the status of such Pool Receivable as a Delinquent Receivable or a Deemed Defaulted Receivable or limit the rights of any Secured Party under this Agreement or any other Transaction Document and (iii) if an Event of Termination has occurred and is continuing, the Servicer may take such action only upon the prior written consent of the Administrative Agent. The Seller shall deliver to the Servicer and the Servicer shall hold for the benefit of the Administrative Agent (individually and for the benefit of each Group), in accordance with their respective interests, all records and documents (including computer tapes or disks) with respect to each Pool Receivable. Notwithstanding anything to the contrary contained herein, if an Event of Termination has occurred and is continuing, the Administrative Agent may direct the Servicer to commence or settle any legal action to enforce collection of any Pool Receivable that is a Delinquent Receivable or to foreclose upon or repossess any Related Security with respect to any such Delinquent Receivable.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The Servicer’s obligations hereunder shall terminate on the Final Payout Date. Promptly following the Final Payout Date, the Servicer shall deliver to the Seller all books, records and related materials that the Seller previously provided to the Servicer, or that have been obtained by the Servicer, in connection with this Agreement.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6.03. </w:t>
      </w:r>
      <w:r>
        <w:rPr>
          <w:rFonts w:ascii="Times New Roman" w:hAnsi="Times New Roman"/>
          <w:color w:val="000000"/>
          <w:sz w:val="24"/>
          <w:u w:val="single"/>
        </w:rPr>
        <w:t>Collection Account Arrangements</w:t>
      </w:r>
      <w:r>
        <w:rPr>
          <w:rFonts w:ascii="Times New Roman" w:hAnsi="Times New Roman"/>
          <w:color w:val="000000"/>
          <w:sz w:val="24"/>
        </w:rPr>
        <w:t>. Prior to the Closing Date, the Seller shall have entered into the JPM Account Control Agreement, the relevant Collection Account Declaration of Trust and/or the relevant Collection Account Pledge Agreements with all of the Collection Account Banks and delivered executed counterparts of each to the Administrative Agent. Upon the occurrence and during the continuance of an Unmatured Event of Termination or Event of Termination, the Administrative Agent may (with the consent of the Majority Group Agents) and shall (upon the direction of the Majority Group Agents) at any time thereafter give notice to each Collection Account Bank that the Administrative Agent is exercising its rights under the JPM Account Control Agreement, the relevant Collection Account Declaration of Trust and/or the relevant Collection Account Pledge Agreements to do any or all of the following: (a) to have the exclusive ownership and control of the Collection Accounts transferred to the Administrative Agent (for the benefit of the Secured Parties) and to exercise exclusive dominion and control over the funds deposited therein (for the benefit of the Secured Parties), (b) to have the proceeds that are sent to the respective Collection Accounts redirected pursuant to the Administrative Agent’s instructions rather than deposited in the applicable Collection Account and (c) to take any or all other actions permitted under the JPM Account Control Agreement. The Seller hereby agrees that if the Administrative Agent at any time takes any action set forth in the preceding sentence, the Administrative Agent shall have exclusive control (for the benefit of the Secured Parties) of the proceeds (including Collections) of all Pool Receivables and the Seller hereby further agrees to take any other action that the Administrative Agent may reasonably request to transfer such control. Any proceeds of Pool Receivables received by the Seller or the Servicer thereafter shall be sent immediately to, or as otherwise instructed by, the Administrative Agent. If any Collection Account Bank ceases to be an Eligible Account Bank, the Seller shall, within ninety (90) days after such Collection Account Bank ceases to be an Eligible Account Bank, move the applicable Collection Account to a replacement Collection Account Bank that is an Eligible Account Bank.</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Section 6.04. </w:t>
      </w:r>
      <w:r>
        <w:rPr>
          <w:rFonts w:ascii="Times New Roman" w:hAnsi="Times New Roman"/>
          <w:color w:val="000000"/>
          <w:sz w:val="24"/>
          <w:u w:val="single"/>
        </w:rPr>
        <w:t>Enforcement Rights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At any time following the occurrence and during the continuation of an Event of Termination: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the Administrative Agent (at the Seller’s expense) may direct the Obligors that payment of all amounts payable under any Pool Receivable is to be made directly to the Administrative Agent or its designee;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(ii) the Administrative Agent may instruct the Seller, Servicer or the Ashland Sub-Servicer to give notice of the Seller’s and the Secured Parties’ interest in Pool Receivables to each Obligor, which notice shall direct that payments be made directly to the Administrative Agent or its designee (on behalf of the Secured Parties), and the Seller, Servicer or the Ashland Sub-Servicer, as the case may be, shall give such notice at the expense of the Seller, Servicer or the Ashland Sub-Servicer, as the case may be; </w:t>
      </w:r>
      <w:r>
        <w:rPr>
          <w:rFonts w:ascii="Times New Roman" w:hAnsi="Times New Roman"/>
          <w:color w:val="000000"/>
          <w:sz w:val="24"/>
          <w:u w:val="single"/>
        </w:rPr>
        <w:t>provided</w:t>
      </w:r>
      <w:r>
        <w:rPr>
          <w:rFonts w:ascii="Times New Roman" w:hAnsi="Times New Roman"/>
          <w:color w:val="000000"/>
          <w:sz w:val="24"/>
        </w:rPr>
        <w:t>, that if the Seller , Servicer or the Ashland Sub-Servicer, as the case may be, fails to so notify each Obligor within two (2) Business Days following instruction by the Administrative Agent, the Administrative Agent (at the Seller’s or the Servicer’s, as the case may be, expense) may so notify the Obligors;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the Administrative Agent may request the Servicer to, and upon such request the Servicer shall: (A) assemble all of the records necessary or desirable to collect the Pool Receivables and the Related Security, and transfer or license to a successor Servicer the use of all software necessary or desirable to collect the Pool Receivables and the Related Security, and make the same available to the Administrative Agent or its designee (for the benefit of the Secured Parties) at a place selected by the Administrative Agent and (B) segregate all cash, checks and other instruments received by it from time to time constituting Collections in a manner reasonably acceptable to the Administrative Agent and, promptly upon receipt, remit all such cash, checks and instruments, duly endorsed or with duly executed instruments of transfer, to the Administrative Agent or its designee;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 the Administrative Agent may notify the Collection Account Banks that the applicable Originator will no longer have any access to the Collection Accounts;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 the Administrative Agent may (or, at the direction of the Majority Group Agents shall) replace the Person then acting as Servicer or Sub-Servicer;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 the Administrative Agent may collect any amounts due from an Originator under any Purchase and Sale Agreement or the Performance Guarantor under the Performance Guarantee;</w:t>
      </w:r>
    </w:p>
    <w:p>
      <w:pPr>
        <w:pStyle w:val="TextBody"/>
        <w:bidi w:val="0"/>
        <w:spacing w:before="240" w:after="283"/>
        <w:jc w:val="both"/>
        <w:rPr>
          <w:rFonts w:ascii="Times New Roman" w:hAnsi="Times New Roman"/>
          <w:sz w:val="24"/>
        </w:rPr>
      </w:pPr>
      <w:r>
        <w:rPr>
          <w:rFonts w:ascii="Times New Roman" w:hAnsi="Times New Roman"/>
          <w:color w:val="000000"/>
          <w:sz w:val="24"/>
        </w:rPr>
        <w:t>(vii) the Servicer shall prepare and forward to the Administrative Agent and each Group Agent a Weekly Report in accordance with Schedule 4 (</w:t>
      </w:r>
      <w:r>
        <w:rPr>
          <w:rFonts w:ascii="Times New Roman" w:hAnsi="Times New Roman"/>
          <w:i/>
          <w:color w:val="000000"/>
          <w:sz w:val="24"/>
        </w:rPr>
        <w:t>Covenants</w:t>
      </w:r>
      <w:r>
        <w:rPr>
          <w:rFonts w:ascii="Times New Roman" w:hAnsi="Times New Roman"/>
          <w:color w:val="000000"/>
          <w:sz w:val="24"/>
        </w:rPr>
        <w:t>) Part 2 (</w:t>
      </w:r>
      <w:r>
        <w:rPr>
          <w:rFonts w:ascii="Times New Roman" w:hAnsi="Times New Roman"/>
          <w:i/>
          <w:color w:val="000000"/>
          <w:sz w:val="24"/>
        </w:rPr>
        <w:t>Representation and Warranties of the Servicer and Ashland Sub-Servicers</w:t>
      </w:r>
      <w:r>
        <w:rPr>
          <w:rFonts w:ascii="Times New Roman" w:hAnsi="Times New Roman"/>
          <w:color w:val="000000"/>
          <w:sz w:val="24"/>
        </w:rPr>
        <w:t>) para (b)(ii) of the Master Framework Agreement.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the avoidance of doubt, the foregoing rights and remedies of the Administrative Agent upon an Event of Termination are in addition to and not exclusive of the rights and remedies contained herein and under the other Transaction Documents.</w:t>
      </w:r>
    </w:p>
    <w:p>
      <w:pPr>
        <w:pStyle w:val="TextBody"/>
        <w:bidi w:val="0"/>
        <w:spacing w:before="240" w:after="283"/>
        <w:jc w:val="both"/>
        <w:rPr>
          <w:rFonts w:ascii="Times New Roman" w:hAnsi="Times New Roman"/>
          <w:sz w:val="24"/>
        </w:rPr>
      </w:pPr>
      <w:r>
        <w:rPr>
          <w:rFonts w:ascii="Times New Roman" w:hAnsi="Times New Roman"/>
          <w:color w:val="000000"/>
          <w:sz w:val="24"/>
        </w:rPr>
        <w:t>(b) The Seller hereby authorizes the Administrative Agent (on behalf of the Secured Parties), and irrevocably appoints the Administrative Agent as its true and lawful attorney with full power and full authority in the place and stead of the Seller, which appointment is coupled with an interest, to take any and all steps in the name of the Seller and on behalf of the Seller (also for the purposes of article 1704 of the Italian Civil Code, with specific power and authorisation to execute any contract with itself (</w:t>
      </w:r>
      <w:r>
        <w:rPr>
          <w:rFonts w:ascii="Times New Roman" w:hAnsi="Times New Roman"/>
          <w:i/>
          <w:color w:val="000000"/>
          <w:sz w:val="24"/>
        </w:rPr>
        <w:t>contratto con se stesso</w:t>
      </w:r>
      <w:r>
        <w:rPr>
          <w:rFonts w:ascii="Times New Roman" w:hAnsi="Times New Roman"/>
          <w:color w:val="000000"/>
          <w:sz w:val="24"/>
        </w:rPr>
        <w:t xml:space="preserve">) for the purposes of article 1395 of the Italian Civil Code and notwithstanding any possible conflict of interest in accordance with article 1394 of the Italian Civil Code) necessary or desirable, in the reasonable determination of the Administrative Agent, after the occurrence and during the continuation of an Event of Termination, to (i) collect any and all amounts or portions thereof due under any and all Sold Assets and Seller Collateral, including endorsing the name of the Seller on checks and other instruments representing Collections and enforcing such Sold Assets and Seller Collateral, (ii) to do every act or thing which the attorney may deem to be necessary and proper for fully and effectually vesting, transferring or assigning the Sold Assets and Seller Collateral or any part thereof and/or the Seller's estate, right, title, benefit and/or interest therein or thereto in or to the attorney and its successors in title or other person or persons entitled to the benefit thereof in the same manner and as fully and effectually in all respects as the Seller could have done; and/or (iii) to do every act or thing which the attorney considers in each case </w:t>
      </w:r>
      <w:r>
        <w:rPr>
          <w:rFonts w:ascii="Times New Roman" w:hAnsi="Times New Roman"/>
          <w:i/>
          <w:color w:val="000000"/>
          <w:sz w:val="24"/>
        </w:rPr>
        <w:t xml:space="preserve">bona fide </w:t>
      </w:r>
      <w:r>
        <w:rPr>
          <w:rFonts w:ascii="Times New Roman" w:hAnsi="Times New Roman"/>
          <w:color w:val="000000"/>
          <w:sz w:val="24"/>
        </w:rPr>
        <w:t>necessary for the protection or preservation of the attorney's interests and rights in and to the Sold Assets and Seller Collateral; and/or (iv) the attorney shall have the power by writing under its hand by an officer of the attorney from time to time to appoint a substitute attorney (each a “</w:t>
      </w:r>
      <w:r>
        <w:rPr>
          <w:rFonts w:ascii="Times New Roman" w:hAnsi="Times New Roman"/>
          <w:color w:val="000000"/>
          <w:sz w:val="24"/>
          <w:u w:val="single"/>
        </w:rPr>
        <w:t>Substitute</w:t>
      </w:r>
      <w:r>
        <w:rPr>
          <w:rFonts w:ascii="Times New Roman" w:hAnsi="Times New Roman"/>
          <w:color w:val="000000"/>
          <w:sz w:val="24"/>
        </w:rPr>
        <w:t>”) who shall have the power to act on behalf of the Seller as if that Substitute shall have been originally appointed attorney by this power of attorney and/or to revoke any such appointment at any time without assigning any reason therefore. Notwithstanding anything to the contrary contained in this subsection, none of the powers conferred upon such attorney pursuant to the preceding sentence shall subject such attorney to any liability if any action taken by it shall prove to be inadequate or invalid, nor shall they confer any obligations upon such attorney in any manner whatsoever. The Seller hereby agrees at all times hereafter to ratify and confirm whatsoever the said attorney or its attorney or Substitute shall lawfully do or cause to be done in and concerning the Sold Assets and/or the Seller Collateral.</w:t>
      </w:r>
    </w:p>
    <w:p>
      <w:pPr>
        <w:pStyle w:val="TextBody"/>
        <w:bidi w:val="0"/>
        <w:spacing w:before="240" w:after="283"/>
        <w:jc w:val="both"/>
        <w:rPr>
          <w:rFonts w:ascii="Times New Roman" w:hAnsi="Times New Roman"/>
          <w:sz w:val="24"/>
        </w:rPr>
      </w:pPr>
      <w:r>
        <w:rPr>
          <w:rFonts w:ascii="Times New Roman" w:hAnsi="Times New Roman"/>
          <w:color w:val="000000"/>
          <w:sz w:val="24"/>
        </w:rPr>
        <w:t>(c) The Servicer hereby authorizes the Administrative Agent (on behalf of the Secured Parties), and irrevocably appoints the Administrative Agent as its true and lawful attorney with full power and full authority in the place and stead of the Servicer, which appointment is coupled with an interest, to take any and all steps in the name of the Servicer and on behalf of the Servicer (also for the purposes of article 1704 of the Italian Civil Code, with specific power and authorisation to execute any contract with itself (</w:t>
      </w:r>
      <w:r>
        <w:rPr>
          <w:rFonts w:ascii="Times New Roman" w:hAnsi="Times New Roman"/>
          <w:i/>
          <w:color w:val="000000"/>
          <w:sz w:val="24"/>
        </w:rPr>
        <w:t>contratto con se stesso</w:t>
      </w:r>
      <w:r>
        <w:rPr>
          <w:rFonts w:ascii="Times New Roman" w:hAnsi="Times New Roman"/>
          <w:color w:val="000000"/>
          <w:sz w:val="24"/>
        </w:rPr>
        <w:t xml:space="preserve">) for the purposes of article 1395 of the Italian Civil Code and notwithstanding any possible conflict of interest in accordance with article 1394 of the Italian Civil Code) necessary or desirable, in the reasonable determination of the Administrative Agent, after the occurrence and during the continuation of an Event of Termination, to (i) collect any and all amounts or portions thereof due under any and all Sold Assets and Seller Collateral, including endorsing the name of the Servicer on checks and other instruments representing Collections and enforcing such Sold Assets and Seller Collateral, (ii) to do every act or thing which the attorney may deem to be necessary and proper for fully and effectually vesting, transferring or assigning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the Sold Assets and Seller Collateral or any part thereof and/or the Servicer's estate, right, title, benefit and/or interest therein or thereto in or to the attorney and its successors in title or other person or persons entitled to the benefit thereof in the same manner and as fully and effectually in all respects as the Servicer could have done; and/or (iii) to do every act or thing which the attorney considers in each case </w:t>
      </w:r>
      <w:r>
        <w:rPr>
          <w:rFonts w:ascii="Times New Roman" w:hAnsi="Times New Roman"/>
          <w:i/>
          <w:color w:val="000000"/>
          <w:sz w:val="24"/>
        </w:rPr>
        <w:t xml:space="preserve">bona fide </w:t>
      </w:r>
      <w:r>
        <w:rPr>
          <w:rFonts w:ascii="Times New Roman" w:hAnsi="Times New Roman"/>
          <w:color w:val="000000"/>
          <w:sz w:val="24"/>
        </w:rPr>
        <w:t>necessary for the protection or preservation of the attorney's interests and rights in and to the Sold Assets and Seller Collateral; and/or (iv) the attorney shall have the power by writing under its hand by an officer of the attorney from time to time to appoint a substitute attorney (each a “</w:t>
      </w:r>
      <w:r>
        <w:rPr>
          <w:rFonts w:ascii="Times New Roman" w:hAnsi="Times New Roman"/>
          <w:color w:val="000000"/>
          <w:sz w:val="24"/>
          <w:u w:val="single"/>
        </w:rPr>
        <w:t>Substitute</w:t>
      </w:r>
      <w:r>
        <w:rPr>
          <w:rFonts w:ascii="Times New Roman" w:hAnsi="Times New Roman"/>
          <w:color w:val="000000"/>
          <w:sz w:val="24"/>
        </w:rPr>
        <w:t>”) who shall have the power to act on behalf of Servicer as if that Substitute shall have been originally appointed attorney by this power of attorney and/or to revoke any such appointment at any time without assigning any reason therefore Notwithstanding anything to the contrary contained in this subsection, none of the powers conferred upon such attorney pursuant to the preceding sentence shall subject such attorney to any liability if any action taken by it shall prove to be inadequate or invalid, nor shall they confer any obligations upon such attorney in any manner whatsoever. The Seller hereby agrees at all times hereafter to ratify and confirm whatsoever the said attorney or its attorneys or Substitute shall lawfully do or cause to be done in and concerning the Sold Assets and/or the Seller Collateral.</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6.05. </w:t>
      </w:r>
      <w:r>
        <w:rPr>
          <w:rFonts w:ascii="Times New Roman" w:hAnsi="Times New Roman"/>
          <w:color w:val="000000"/>
          <w:sz w:val="24"/>
          <w:u w:val="single"/>
        </w:rPr>
        <w:t>Responsibilities of the Seller</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Anything herein to the contrary notwithstanding, the Seller shall: (i) perform all of its obligations, if any, in all material respects under the Contracts related to the Pool Receivables to the same extent as if interests in such Pool Receivables had not been transferred hereunder, and the exercise by the Administrative Agent, or any other Purchaser Party of their respective rights hereunder shall not relieve the Seller from such obligations and (ii) pay when due any taxes, including any sales taxes, excise tax, personal property tax or similar taxes payable in connection with the Pool Receivables and their creation and satisfaction and timely file such tax returns required to be filed, except as otherwise permitted herein. None of the Purchaser Parties shall have any obligation or liability with respect to any Sold Assets or Seller Collateral, nor shall any of them be obligated to perform any of the obligations of the Seller, the Servicer or any Originator thereunder.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The Parent hereby irrevocably agrees that if at any time it shall cease to be the Servicer hereunder, it shall act (if the then-current Servicer so requests) as the data-processing agent of the then current Servicer and, in such capacity, the Parent shall conduct the data-processing functions of the administration of the Receivables and the Collections thereon in substantially the same way that it conducted such data-processing functions while it acted as the Servicer. In connection with any such processing functions, the Seller shall pay to the Parent its reasonable out-of-pocket costs and expenses from the Seller’s own funds (subject to the priority of payments set forth in </w:t>
      </w:r>
      <w:r>
        <w:rPr>
          <w:rFonts w:ascii="Times New Roman" w:hAnsi="Times New Roman"/>
          <w:color w:val="000000"/>
          <w:sz w:val="24"/>
          <w:u w:val="single"/>
        </w:rPr>
        <w:t>Section 3.01</w:t>
      </w:r>
      <w:r>
        <w:rPr>
          <w:rFonts w:ascii="Times New Roman" w:hAnsi="Times New Roman"/>
          <w:color w:val="000000"/>
          <w:sz w:val="24"/>
        </w:rPr>
        <w:t>).</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Section 6.06. </w:t>
      </w:r>
      <w:r>
        <w:rPr>
          <w:rFonts w:ascii="Times New Roman" w:hAnsi="Times New Roman"/>
          <w:color w:val="000000"/>
          <w:sz w:val="24"/>
          <w:u w:val="single"/>
        </w:rPr>
        <w:t>Servicing Fee</w:t>
      </w:r>
      <w:r>
        <w:rPr>
          <w:rFonts w:ascii="Times New Roman" w:hAnsi="Times New Roman"/>
          <w:color w:val="000000"/>
          <w:sz w:val="24"/>
        </w:rPr>
        <w: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Subject to </w:t>
      </w:r>
      <w:r>
        <w:rPr>
          <w:rFonts w:ascii="Times New Roman" w:hAnsi="Times New Roman"/>
          <w:color w:val="000000"/>
          <w:sz w:val="24"/>
          <w:u w:val="single"/>
        </w:rPr>
        <w:t>clause (b)</w:t>
      </w:r>
      <w:r>
        <w:rPr>
          <w:rFonts w:ascii="Times New Roman" w:hAnsi="Times New Roman"/>
          <w:color w:val="000000"/>
          <w:sz w:val="24"/>
        </w:rPr>
        <w:t xml:space="preserve"> below, the Seller shall pay the Servicer a fee (the “</w:t>
      </w:r>
      <w:r>
        <w:rPr>
          <w:rFonts w:ascii="Times New Roman" w:hAnsi="Times New Roman"/>
          <w:color w:val="000000"/>
          <w:sz w:val="24"/>
          <w:u w:val="single"/>
        </w:rPr>
        <w:t>Servicing Fee</w:t>
      </w:r>
      <w:r>
        <w:rPr>
          <w:rFonts w:ascii="Times New Roman" w:hAnsi="Times New Roman"/>
          <w:color w:val="000000"/>
          <w:sz w:val="24"/>
        </w:rPr>
        <w:t xml:space="preserve">”) accruing during each Fiscal Month equal to the sum of (i) the actual costs and expenses incurred by the Servicer in performing its duties hereunder during such Fiscal Month, plus (ii) 25% of such costs and expenses; provided however, that the Servicing Fee for any Fiscal Month shall not exceed an amount equal to the product of (x) 1.00%, multiplied by (ii) the daily average aggregate Outstanding Balance of the Pool Receivables during such Fiscal Month, multiplied by (iii) 1/12. The Servicing Fee shall be inclusive of VAT (if any). Accrued Servicing Fees shall be payable from Collections to the extent of available funds in accordance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with </w:t>
      </w:r>
      <w:r>
        <w:rPr>
          <w:rFonts w:ascii="Times New Roman" w:hAnsi="Times New Roman"/>
          <w:color w:val="000000"/>
          <w:sz w:val="24"/>
          <w:u w:val="single"/>
        </w:rPr>
        <w:t>Section 3.01</w:t>
      </w:r>
      <w:r>
        <w:rPr>
          <w:rFonts w:ascii="Times New Roman" w:hAnsi="Times New Roman"/>
          <w:color w:val="000000"/>
          <w:sz w:val="24"/>
        </w:rPr>
        <w:t>. Servicing Fees for each Fiscal Month shall be reasonably calculated and determined by the Servicer, and the Servicer shall report the amount of accrued Servicing Fees for each Fiscal Month in the related Information Package.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If the Servicer ceases to be the Parent or a Subsidiary of Ashland, the Servicing Fee shall be the greater of: (i) the amount calculated pursuant to </w:t>
      </w:r>
      <w:r>
        <w:rPr>
          <w:rFonts w:ascii="Times New Roman" w:hAnsi="Times New Roman"/>
          <w:color w:val="000000"/>
          <w:sz w:val="24"/>
          <w:u w:val="single"/>
        </w:rPr>
        <w:t>clause (a)</w:t>
      </w:r>
      <w:r>
        <w:rPr>
          <w:rFonts w:ascii="Times New Roman" w:hAnsi="Times New Roman"/>
          <w:color w:val="000000"/>
          <w:sz w:val="24"/>
        </w:rPr>
        <w:t xml:space="preserve"> above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an alternative amount agreed in writing between the Administrative Agent and such successor Servicer.</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VII</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EVENTS OF TERMINATION</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7.01. </w:t>
      </w:r>
      <w:r>
        <w:rPr>
          <w:rFonts w:ascii="Times New Roman" w:hAnsi="Times New Roman"/>
          <w:color w:val="000000"/>
          <w:sz w:val="24"/>
          <w:u w:val="single"/>
        </w:rPr>
        <w:t>Events of Termination</w:t>
      </w:r>
      <w:r>
        <w:rPr>
          <w:rFonts w:ascii="Times New Roman" w:hAnsi="Times New Roman"/>
          <w:color w:val="000000"/>
          <w:sz w:val="24"/>
        </w:rPr>
        <w:t>. If any of the following events (each an “</w:t>
      </w:r>
      <w:r>
        <w:rPr>
          <w:rFonts w:ascii="Times New Roman" w:hAnsi="Times New Roman"/>
          <w:color w:val="000000"/>
          <w:sz w:val="24"/>
          <w:u w:val="single"/>
        </w:rPr>
        <w:t>Event of Termination</w:t>
      </w:r>
      <w:r>
        <w:rPr>
          <w:rFonts w:ascii="Times New Roman" w:hAnsi="Times New Roman"/>
          <w:color w:val="000000"/>
          <w:sz w:val="24"/>
        </w:rPr>
        <w:t>”) shall occur: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the Seller or any Originator shall (i) fail to pay when due, any accrued Yield or to make any reduction or repayment of the Aggregate Capital and such failure continues for one (1) Business Day, (ii) fail to transfer Collections received by the Seller or any Originator to a Collection Account at such times required under the terms hereof and such failure continues for two (2) Business Days, or (iii) default in the performance of any payment (other than those covered by </w:t>
      </w:r>
      <w:r>
        <w:rPr>
          <w:rFonts w:ascii="Times New Roman" w:hAnsi="Times New Roman"/>
          <w:color w:val="000000"/>
          <w:sz w:val="24"/>
          <w:u w:val="single"/>
        </w:rPr>
        <w:t>clauses (i)</w:t>
      </w:r>
      <w:r>
        <w:rPr>
          <w:rFonts w:ascii="Times New Roman" w:hAnsi="Times New Roman"/>
          <w:color w:val="000000"/>
          <w:sz w:val="24"/>
        </w:rPr>
        <w:t xml:space="preserve"> and </w:t>
      </w:r>
      <w:r>
        <w:rPr>
          <w:rFonts w:ascii="Times New Roman" w:hAnsi="Times New Roman"/>
          <w:color w:val="000000"/>
          <w:sz w:val="24"/>
          <w:u w:val="single"/>
        </w:rPr>
        <w:t>(ii)</w:t>
      </w:r>
      <w:r>
        <w:rPr>
          <w:rFonts w:ascii="Times New Roman" w:hAnsi="Times New Roman"/>
          <w:color w:val="000000"/>
          <w:sz w:val="24"/>
        </w:rPr>
        <w:t xml:space="preserve"> above) and such failure continues for ten (10) days; or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any representation, warranty, certification or statement made or deemed confirmed by the Seller, any Originator the Performance Guarantor or the Servicer under or in connection with this Agreement, any other Transaction Document to which it is a party or in any other information, report or document delivered pursuant hereto or thereto shall prove to have been incorrect or untrue in any material respect (except any representation or warranty qualified by materiality or by reference to a material adverse effect, which shall prove to have been incorrect or untrue in any respect) when made or confirmed and such circumstance shall remain uncured for thirty (30) days after the earlier to occur of (i) receipt of notice thereof from any Group Agent, any Purchaser or the Administrative Agent or (ii) knowledge thereof by a Responsible Officer; </w:t>
      </w:r>
      <w:r>
        <w:rPr>
          <w:rFonts w:ascii="Times New Roman" w:hAnsi="Times New Roman"/>
          <w:i/>
          <w:color w:val="000000"/>
          <w:sz w:val="24"/>
        </w:rPr>
        <w:t>provided</w:t>
      </w:r>
      <w:r>
        <w:rPr>
          <w:rFonts w:ascii="Times New Roman" w:hAnsi="Times New Roman"/>
          <w:color w:val="000000"/>
          <w:sz w:val="24"/>
        </w:rPr>
        <w:t xml:space="preserve"> that no such representation, warranty, or certification hereunder shall be deemed to be incorrect, untrue or violated to the extent any affected Receivable is subject to a Deemed Collection and all required amounts with respect to such Receivable have been deposited into a Collection Account; or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(c) the Seller shall default in any material respect in the performance of any undertaking (i) to be performed or observed under </w:t>
      </w:r>
      <w:r>
        <w:rPr>
          <w:rFonts w:ascii="Times New Roman" w:hAnsi="Times New Roman"/>
          <w:color w:val="000000"/>
          <w:sz w:val="24"/>
          <w:u w:val="single"/>
        </w:rPr>
        <w:t>paragraph (d)(i)</w:t>
      </w:r>
      <w:r>
        <w:rPr>
          <w:rFonts w:ascii="Times New Roman" w:hAnsi="Times New Roman"/>
          <w:color w:val="000000"/>
          <w:sz w:val="24"/>
        </w:rPr>
        <w:t xml:space="preserve"> (</w:t>
      </w:r>
      <w:r>
        <w:rPr>
          <w:rFonts w:ascii="Times New Roman" w:hAnsi="Times New Roman"/>
          <w:i/>
          <w:color w:val="000000"/>
          <w:sz w:val="24"/>
        </w:rPr>
        <w:t>notice of events of termination or unmatured events of termination</w:t>
      </w:r>
      <w:r>
        <w:rPr>
          <w:rFonts w:ascii="Times New Roman" w:hAnsi="Times New Roman"/>
          <w:color w:val="000000"/>
          <w:sz w:val="24"/>
        </w:rPr>
        <w:t xml:space="preserve">), </w:t>
      </w:r>
      <w:r>
        <w:rPr>
          <w:rFonts w:ascii="Times New Roman" w:hAnsi="Times New Roman"/>
          <w:color w:val="000000"/>
          <w:sz w:val="24"/>
          <w:u w:val="single"/>
        </w:rPr>
        <w:t>paragraph (e)</w:t>
      </w:r>
      <w:r>
        <w:rPr>
          <w:rFonts w:ascii="Times New Roman" w:hAnsi="Times New Roman"/>
          <w:color w:val="000000"/>
          <w:sz w:val="24"/>
        </w:rPr>
        <w:t xml:space="preserve"> (</w:t>
      </w:r>
      <w:r>
        <w:rPr>
          <w:rFonts w:ascii="Times New Roman" w:hAnsi="Times New Roman"/>
          <w:i/>
          <w:color w:val="000000"/>
          <w:sz w:val="24"/>
        </w:rPr>
        <w:t>conduct of business</w:t>
      </w:r>
      <w:r>
        <w:rPr>
          <w:rFonts w:ascii="Times New Roman" w:hAnsi="Times New Roman"/>
          <w:color w:val="000000"/>
          <w:sz w:val="24"/>
        </w:rPr>
        <w:t xml:space="preserve">), </w:t>
      </w:r>
      <w:r>
        <w:rPr>
          <w:rFonts w:ascii="Times New Roman" w:hAnsi="Times New Roman"/>
          <w:color w:val="000000"/>
          <w:sz w:val="24"/>
          <w:u w:val="single"/>
        </w:rPr>
        <w:t>paragraph (f)</w:t>
      </w:r>
      <w:r>
        <w:rPr>
          <w:rFonts w:ascii="Times New Roman" w:hAnsi="Times New Roman"/>
          <w:color w:val="000000"/>
          <w:sz w:val="24"/>
        </w:rPr>
        <w:t xml:space="preserve"> (</w:t>
      </w:r>
      <w:r>
        <w:rPr>
          <w:rFonts w:ascii="Times New Roman" w:hAnsi="Times New Roman"/>
          <w:i/>
          <w:color w:val="000000"/>
          <w:sz w:val="24"/>
        </w:rPr>
        <w:t>compliance with laws</w:t>
      </w:r>
      <w:r>
        <w:rPr>
          <w:rFonts w:ascii="Times New Roman" w:hAnsi="Times New Roman"/>
          <w:color w:val="000000"/>
          <w:sz w:val="24"/>
        </w:rPr>
        <w:t xml:space="preserve">), </w:t>
      </w:r>
      <w:r>
        <w:rPr>
          <w:rFonts w:ascii="Times New Roman" w:hAnsi="Times New Roman"/>
          <w:color w:val="000000"/>
          <w:sz w:val="24"/>
          <w:u w:val="single"/>
        </w:rPr>
        <w:t>paragraph (g)</w:t>
      </w:r>
      <w:r>
        <w:rPr>
          <w:rFonts w:ascii="Times New Roman" w:hAnsi="Times New Roman"/>
          <w:color w:val="000000"/>
          <w:sz w:val="24"/>
        </w:rPr>
        <w:t xml:space="preserve"> (</w:t>
      </w:r>
      <w:r>
        <w:rPr>
          <w:rFonts w:ascii="Times New Roman" w:hAnsi="Times New Roman"/>
          <w:i/>
          <w:color w:val="000000"/>
          <w:sz w:val="24"/>
        </w:rPr>
        <w:t>payments on receivables, collection accounts</w:t>
      </w:r>
      <w:r>
        <w:rPr>
          <w:rFonts w:ascii="Times New Roman" w:hAnsi="Times New Roman"/>
          <w:color w:val="000000"/>
          <w:sz w:val="24"/>
        </w:rPr>
        <w:t xml:space="preserve">), </w:t>
      </w:r>
      <w:r>
        <w:rPr>
          <w:rFonts w:ascii="Times New Roman" w:hAnsi="Times New Roman"/>
          <w:color w:val="000000"/>
          <w:sz w:val="24"/>
          <w:u w:val="single"/>
        </w:rPr>
        <w:t>paragraph (h)</w:t>
      </w:r>
      <w:r>
        <w:rPr>
          <w:rFonts w:ascii="Times New Roman" w:hAnsi="Times New Roman"/>
          <w:color w:val="000000"/>
          <w:sz w:val="24"/>
        </w:rPr>
        <w:t xml:space="preserve"> (</w:t>
      </w:r>
      <w:r>
        <w:rPr>
          <w:rFonts w:ascii="Times New Roman" w:hAnsi="Times New Roman"/>
          <w:i/>
          <w:color w:val="000000"/>
          <w:sz w:val="24"/>
        </w:rPr>
        <w:t>sales, liens, etc.</w:t>
      </w:r>
      <w:r>
        <w:rPr>
          <w:rFonts w:ascii="Times New Roman" w:hAnsi="Times New Roman"/>
          <w:color w:val="000000"/>
          <w:sz w:val="24"/>
        </w:rPr>
        <w:t xml:space="preserve">), </w:t>
      </w:r>
      <w:r>
        <w:rPr>
          <w:rFonts w:ascii="Times New Roman" w:hAnsi="Times New Roman"/>
          <w:color w:val="000000"/>
          <w:sz w:val="24"/>
          <w:u w:val="single"/>
        </w:rPr>
        <w:t>paragraph (i)</w:t>
      </w:r>
      <w:r>
        <w:rPr>
          <w:rFonts w:ascii="Times New Roman" w:hAnsi="Times New Roman"/>
          <w:color w:val="000000"/>
          <w:sz w:val="24"/>
        </w:rPr>
        <w:t xml:space="preserve"> (</w:t>
      </w:r>
      <w:r>
        <w:rPr>
          <w:rFonts w:ascii="Times New Roman" w:hAnsi="Times New Roman"/>
          <w:i/>
          <w:color w:val="000000"/>
          <w:sz w:val="24"/>
        </w:rPr>
        <w:t>extension or amendment of pool receivables</w:t>
      </w:r>
      <w:r>
        <w:rPr>
          <w:rFonts w:ascii="Times New Roman" w:hAnsi="Times New Roman"/>
          <w:color w:val="000000"/>
          <w:sz w:val="24"/>
        </w:rPr>
        <w:t xml:space="preserve">), </w:t>
      </w:r>
      <w:r>
        <w:rPr>
          <w:rFonts w:ascii="Times New Roman" w:hAnsi="Times New Roman"/>
          <w:color w:val="000000"/>
          <w:sz w:val="24"/>
          <w:u w:val="single"/>
        </w:rPr>
        <w:t>paragraph (j)</w:t>
      </w:r>
      <w:r>
        <w:rPr>
          <w:rFonts w:ascii="Times New Roman" w:hAnsi="Times New Roman"/>
          <w:color w:val="000000"/>
          <w:sz w:val="24"/>
        </w:rPr>
        <w:t xml:space="preserve"> (</w:t>
      </w:r>
      <w:r>
        <w:rPr>
          <w:rFonts w:ascii="Times New Roman" w:hAnsi="Times New Roman"/>
          <w:i/>
          <w:color w:val="000000"/>
          <w:sz w:val="24"/>
        </w:rPr>
        <w:t>change</w:t>
      </w:r>
      <w:r>
        <w:rPr>
          <w:rFonts w:ascii="Times New Roman" w:hAnsi="Times New Roman"/>
          <w:color w:val="000000"/>
          <w:sz w:val="24"/>
        </w:rPr>
        <w:t xml:space="preserve"> </w:t>
      </w:r>
      <w:r>
        <w:rPr>
          <w:rFonts w:ascii="Times New Roman" w:hAnsi="Times New Roman"/>
          <w:i/>
          <w:color w:val="000000"/>
          <w:sz w:val="24"/>
        </w:rPr>
        <w:t>in</w:t>
      </w:r>
      <w:r>
        <w:rPr>
          <w:rFonts w:ascii="Times New Roman" w:hAnsi="Times New Roman"/>
          <w:color w:val="000000"/>
          <w:sz w:val="24"/>
        </w:rPr>
        <w:t xml:space="preserve"> </w:t>
      </w:r>
      <w:r>
        <w:rPr>
          <w:rFonts w:ascii="Times New Roman" w:hAnsi="Times New Roman"/>
          <w:i/>
          <w:color w:val="000000"/>
          <w:sz w:val="24"/>
        </w:rPr>
        <w:t>credit</w:t>
      </w:r>
      <w:r>
        <w:rPr>
          <w:rFonts w:ascii="Times New Roman" w:hAnsi="Times New Roman"/>
          <w:color w:val="000000"/>
          <w:sz w:val="24"/>
        </w:rPr>
        <w:t xml:space="preserve"> </w:t>
      </w:r>
      <w:r>
        <w:rPr>
          <w:rFonts w:ascii="Times New Roman" w:hAnsi="Times New Roman"/>
          <w:i/>
          <w:color w:val="000000"/>
          <w:sz w:val="24"/>
        </w:rPr>
        <w:t>and</w:t>
      </w:r>
      <w:r>
        <w:rPr>
          <w:rFonts w:ascii="Times New Roman" w:hAnsi="Times New Roman"/>
          <w:color w:val="000000"/>
          <w:sz w:val="24"/>
        </w:rPr>
        <w:t xml:space="preserve"> </w:t>
      </w:r>
      <w:r>
        <w:rPr>
          <w:rFonts w:ascii="Times New Roman" w:hAnsi="Times New Roman"/>
          <w:i/>
          <w:color w:val="000000"/>
          <w:sz w:val="24"/>
        </w:rPr>
        <w:t>collection</w:t>
      </w:r>
      <w:r>
        <w:rPr>
          <w:rFonts w:ascii="Times New Roman" w:hAnsi="Times New Roman"/>
          <w:color w:val="000000"/>
          <w:sz w:val="24"/>
        </w:rPr>
        <w:t xml:space="preserve"> </w:t>
      </w:r>
      <w:r>
        <w:rPr>
          <w:rFonts w:ascii="Times New Roman" w:hAnsi="Times New Roman"/>
          <w:i/>
          <w:color w:val="000000"/>
          <w:sz w:val="24"/>
        </w:rPr>
        <w:t>policy</w:t>
      </w:r>
      <w:r>
        <w:rPr>
          <w:rFonts w:ascii="Times New Roman" w:hAnsi="Times New Roman"/>
          <w:color w:val="000000"/>
          <w:sz w:val="24"/>
        </w:rPr>
        <w:t xml:space="preserve">), </w:t>
      </w:r>
      <w:r>
        <w:rPr>
          <w:rFonts w:ascii="Times New Roman" w:hAnsi="Times New Roman"/>
          <w:color w:val="000000"/>
          <w:sz w:val="24"/>
          <w:u w:val="single"/>
        </w:rPr>
        <w:t>paragraph (k)</w:t>
      </w:r>
      <w:r>
        <w:rPr>
          <w:rFonts w:ascii="Times New Roman" w:hAnsi="Times New Roman"/>
          <w:color w:val="000000"/>
          <w:sz w:val="24"/>
        </w:rPr>
        <w:t xml:space="preserve"> (</w:t>
      </w:r>
      <w:r>
        <w:rPr>
          <w:rFonts w:ascii="Times New Roman" w:hAnsi="Times New Roman"/>
          <w:i/>
          <w:color w:val="000000"/>
          <w:sz w:val="24"/>
        </w:rPr>
        <w:t>fundamental changes</w:t>
      </w:r>
      <w:r>
        <w:rPr>
          <w:rFonts w:ascii="Times New Roman" w:hAnsi="Times New Roman"/>
          <w:color w:val="000000"/>
          <w:sz w:val="24"/>
        </w:rPr>
        <w:t xml:space="preserve">), </w:t>
      </w:r>
      <w:r>
        <w:rPr>
          <w:rFonts w:ascii="Times New Roman" w:hAnsi="Times New Roman"/>
          <w:color w:val="000000"/>
          <w:sz w:val="24"/>
          <w:u w:val="single"/>
        </w:rPr>
        <w:t>paragraph (n)</w:t>
      </w:r>
      <w:r>
        <w:rPr>
          <w:rFonts w:ascii="Times New Roman" w:hAnsi="Times New Roman"/>
          <w:color w:val="000000"/>
          <w:sz w:val="24"/>
        </w:rPr>
        <w:t xml:space="preserve"> (</w:t>
      </w:r>
      <w:r>
        <w:rPr>
          <w:rFonts w:ascii="Times New Roman" w:hAnsi="Times New Roman"/>
          <w:i/>
          <w:color w:val="000000"/>
          <w:sz w:val="24"/>
        </w:rPr>
        <w:t>change in payment instructions to obligors</w:t>
      </w:r>
      <w:r>
        <w:rPr>
          <w:rFonts w:ascii="Times New Roman" w:hAnsi="Times New Roman"/>
          <w:color w:val="000000"/>
          <w:sz w:val="24"/>
        </w:rPr>
        <w:t xml:space="preserve">), </w:t>
      </w:r>
      <w:r>
        <w:rPr>
          <w:rFonts w:ascii="Times New Roman" w:hAnsi="Times New Roman"/>
          <w:color w:val="000000"/>
          <w:sz w:val="24"/>
          <w:u w:val="single"/>
        </w:rPr>
        <w:t>paragraph (o)</w:t>
      </w:r>
      <w:r>
        <w:rPr>
          <w:rFonts w:ascii="Times New Roman" w:hAnsi="Times New Roman"/>
          <w:color w:val="000000"/>
          <w:sz w:val="24"/>
        </w:rPr>
        <w:t xml:space="preserve"> (security interests, etc.), </w:t>
      </w:r>
      <w:r>
        <w:rPr>
          <w:rFonts w:ascii="Times New Roman" w:hAnsi="Times New Roman"/>
          <w:color w:val="000000"/>
          <w:sz w:val="24"/>
          <w:u w:val="single"/>
        </w:rPr>
        <w:t>paragraph (p)</w:t>
      </w:r>
      <w:r>
        <w:rPr>
          <w:rFonts w:ascii="Times New Roman" w:hAnsi="Times New Roman"/>
          <w:color w:val="000000"/>
          <w:sz w:val="24"/>
        </w:rPr>
        <w:t xml:space="preserve"> (</w:t>
      </w:r>
      <w:r>
        <w:rPr>
          <w:rFonts w:ascii="Times New Roman" w:hAnsi="Times New Roman"/>
          <w:i/>
          <w:color w:val="000000"/>
          <w:sz w:val="24"/>
        </w:rPr>
        <w:t>certain agreements</w:t>
      </w:r>
      <w:r>
        <w:rPr>
          <w:rFonts w:ascii="Times New Roman" w:hAnsi="Times New Roman"/>
          <w:color w:val="000000"/>
          <w:sz w:val="24"/>
        </w:rPr>
        <w:t xml:space="preserve">), </w:t>
      </w:r>
      <w:r>
        <w:rPr>
          <w:rFonts w:ascii="Times New Roman" w:hAnsi="Times New Roman"/>
          <w:color w:val="000000"/>
          <w:sz w:val="24"/>
          <w:u w:val="single"/>
        </w:rPr>
        <w:t>paragraph (r)</w:t>
      </w:r>
      <w:r>
        <w:rPr>
          <w:rFonts w:ascii="Times New Roman" w:hAnsi="Times New Roman"/>
          <w:color w:val="000000"/>
          <w:sz w:val="24"/>
        </w:rPr>
        <w:t xml:space="preserve"> (</w:t>
      </w:r>
      <w:r>
        <w:rPr>
          <w:rFonts w:ascii="Times New Roman" w:hAnsi="Times New Roman"/>
          <w:i/>
          <w:color w:val="000000"/>
          <w:sz w:val="24"/>
        </w:rPr>
        <w:t>other business</w:t>
      </w:r>
      <w:r>
        <w:rPr>
          <w:rFonts w:ascii="Times New Roman" w:hAnsi="Times New Roman"/>
          <w:color w:val="000000"/>
          <w:sz w:val="24"/>
        </w:rPr>
        <w:t xml:space="preserve">), </w:t>
      </w:r>
      <w:r>
        <w:rPr>
          <w:rFonts w:ascii="Times New Roman" w:hAnsi="Times New Roman"/>
          <w:color w:val="000000"/>
          <w:sz w:val="24"/>
          <w:u w:val="single"/>
        </w:rPr>
        <w:t>paragraph (u)</w:t>
      </w:r>
      <w:r>
        <w:rPr>
          <w:rFonts w:ascii="Times New Roman" w:hAnsi="Times New Roman"/>
          <w:color w:val="000000"/>
          <w:sz w:val="24"/>
        </w:rPr>
        <w:t xml:space="preserve"> (</w:t>
      </w:r>
      <w:r>
        <w:rPr>
          <w:rFonts w:ascii="Times New Roman" w:hAnsi="Times New Roman"/>
          <w:i/>
          <w:color w:val="000000"/>
          <w:sz w:val="24"/>
        </w:rPr>
        <w:t>anti-money laundering/international trade law compliance</w:t>
      </w:r>
      <w:r>
        <w:rPr>
          <w:rFonts w:ascii="Times New Roman" w:hAnsi="Times New Roman"/>
          <w:color w:val="000000"/>
          <w:sz w:val="24"/>
        </w:rPr>
        <w:t>) of Part 1 (</w:t>
      </w:r>
      <w:r>
        <w:rPr>
          <w:rFonts w:ascii="Times New Roman" w:hAnsi="Times New Roman"/>
          <w:i/>
          <w:color w:val="000000"/>
          <w:sz w:val="24"/>
        </w:rPr>
        <w:t>Covenants of the Seller</w:t>
      </w:r>
      <w:r>
        <w:rPr>
          <w:rFonts w:ascii="Times New Roman" w:hAnsi="Times New Roman"/>
          <w:color w:val="000000"/>
          <w:sz w:val="24"/>
        </w:rPr>
        <w:t>) of Schedule 4 (</w:t>
      </w:r>
      <w:r>
        <w:rPr>
          <w:rFonts w:ascii="Times New Roman" w:hAnsi="Times New Roman"/>
          <w:i/>
          <w:color w:val="000000"/>
          <w:sz w:val="24"/>
        </w:rPr>
        <w:t>Covenants</w:t>
      </w:r>
      <w:r>
        <w:rPr>
          <w:rFonts w:ascii="Times New Roman" w:hAnsi="Times New Roman"/>
          <w:color w:val="000000"/>
          <w:sz w:val="24"/>
        </w:rPr>
        <w:t xml:space="preserve">) to the Master Framework Agreement or </w:t>
      </w:r>
      <w:r>
        <w:rPr>
          <w:rFonts w:ascii="Times New Roman" w:hAnsi="Times New Roman"/>
          <w:color w:val="000000"/>
          <w:sz w:val="24"/>
          <w:u w:val="single"/>
        </w:rPr>
        <w:t>Section 5.05</w:t>
      </w:r>
      <w:r>
        <w:rPr>
          <w:rFonts w:ascii="Times New Roman" w:hAnsi="Times New Roman"/>
          <w:color w:val="000000"/>
          <w:sz w:val="24"/>
        </w:rPr>
        <w:t xml:space="preserve"> (</w:t>
      </w:r>
      <w:r>
        <w:rPr>
          <w:rFonts w:ascii="Times New Roman" w:hAnsi="Times New Roman"/>
          <w:i/>
          <w:color w:val="000000"/>
          <w:sz w:val="24"/>
        </w:rPr>
        <w:t>separate existence of seller</w:t>
      </w:r>
      <w:r>
        <w:rPr>
          <w:rFonts w:ascii="Times New Roman" w:hAnsi="Times New Roman"/>
          <w:color w:val="000000"/>
          <w:sz w:val="24"/>
        </w:rPr>
        <w:t xml:space="preserve">), (any of the preceding parenthetical phrases in this </w:t>
      </w:r>
      <w:r>
        <w:rPr>
          <w:rFonts w:ascii="Times New Roman" w:hAnsi="Times New Roman"/>
          <w:color w:val="000000"/>
          <w:sz w:val="24"/>
          <w:u w:val="single"/>
        </w:rPr>
        <w:t>clause (i)</w:t>
      </w:r>
      <w:r>
        <w:rPr>
          <w:rFonts w:ascii="Times New Roman" w:hAnsi="Times New Roman"/>
          <w:color w:val="000000"/>
          <w:sz w:val="24"/>
        </w:rPr>
        <w:t xml:space="preserve"> are for purposes of reference only and shall not otherwise affect the meaning or interpretation of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any provision hereof) or (ii) to be performed or observed under any other provision of this Agreement or any provision of any other Transaction Document to which it is a party and such default in the case of this </w:t>
      </w:r>
      <w:r>
        <w:rPr>
          <w:rFonts w:ascii="Times New Roman" w:hAnsi="Times New Roman"/>
          <w:color w:val="000000"/>
          <w:sz w:val="24"/>
          <w:u w:val="single"/>
        </w:rPr>
        <w:t>clause (ii)</w:t>
      </w:r>
      <w:r>
        <w:rPr>
          <w:rFonts w:ascii="Times New Roman" w:hAnsi="Times New Roman"/>
          <w:color w:val="000000"/>
          <w:sz w:val="24"/>
        </w:rPr>
        <w:t xml:space="preserve"> shall continue for thirty (30) days after the earlier to occur of (A) receipt of notice thereof from any Group Agent, any Purchaser or the Administrative Agent or (B) knowledge thereof by a Responsible Officer; or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(d) the Servicer or an Ashland Sub-Servicer shall default in any material respect in the performance of any undertaking (i) to be performed or observed under </w:t>
      </w:r>
      <w:r>
        <w:rPr>
          <w:rFonts w:ascii="Times New Roman" w:hAnsi="Times New Roman"/>
          <w:color w:val="000000"/>
          <w:sz w:val="24"/>
          <w:u w:val="single"/>
        </w:rPr>
        <w:t>paragraph</w:t>
      </w:r>
      <w:r>
        <w:rPr>
          <w:rFonts w:ascii="Times New Roman" w:hAnsi="Times New Roman"/>
          <w:color w:val="000000"/>
          <w:sz w:val="24"/>
        </w:rPr>
        <w:t xml:space="preserve"> </w:t>
      </w:r>
      <w:r>
        <w:rPr>
          <w:rFonts w:ascii="Times New Roman" w:hAnsi="Times New Roman"/>
          <w:color w:val="000000"/>
          <w:sz w:val="24"/>
          <w:u w:val="single"/>
        </w:rPr>
        <w:t>(c)(i)</w:t>
      </w:r>
      <w:r>
        <w:rPr>
          <w:rFonts w:ascii="Times New Roman" w:hAnsi="Times New Roman"/>
          <w:color w:val="000000"/>
          <w:sz w:val="24"/>
        </w:rPr>
        <w:t xml:space="preserve"> (</w:t>
      </w:r>
      <w:r>
        <w:rPr>
          <w:rFonts w:ascii="Times New Roman" w:hAnsi="Times New Roman"/>
          <w:i/>
          <w:color w:val="000000"/>
          <w:sz w:val="24"/>
        </w:rPr>
        <w:t>notice of events of termination or unmatured events of termination</w:t>
      </w:r>
      <w:r>
        <w:rPr>
          <w:rFonts w:ascii="Times New Roman" w:hAnsi="Times New Roman"/>
          <w:color w:val="000000"/>
          <w:sz w:val="24"/>
        </w:rPr>
        <w:t xml:space="preserve">), </w:t>
      </w:r>
      <w:r>
        <w:rPr>
          <w:rFonts w:ascii="Times New Roman" w:hAnsi="Times New Roman"/>
          <w:color w:val="000000"/>
          <w:sz w:val="24"/>
          <w:u w:val="single"/>
        </w:rPr>
        <w:t>paragraph (d)</w:t>
      </w:r>
      <w:r>
        <w:rPr>
          <w:rFonts w:ascii="Times New Roman" w:hAnsi="Times New Roman"/>
          <w:color w:val="000000"/>
          <w:sz w:val="24"/>
        </w:rPr>
        <w:t xml:space="preserve"> (</w:t>
      </w:r>
      <w:r>
        <w:rPr>
          <w:rFonts w:ascii="Times New Roman" w:hAnsi="Times New Roman"/>
          <w:i/>
          <w:color w:val="000000"/>
          <w:sz w:val="24"/>
        </w:rPr>
        <w:t>conduct of business</w:t>
      </w:r>
      <w:r>
        <w:rPr>
          <w:rFonts w:ascii="Times New Roman" w:hAnsi="Times New Roman"/>
          <w:color w:val="000000"/>
          <w:sz w:val="24"/>
        </w:rPr>
        <w:t xml:space="preserve">), </w:t>
      </w:r>
      <w:r>
        <w:rPr>
          <w:rFonts w:ascii="Times New Roman" w:hAnsi="Times New Roman"/>
          <w:color w:val="000000"/>
          <w:sz w:val="24"/>
          <w:u w:val="single"/>
        </w:rPr>
        <w:t>paragraph (e)</w:t>
      </w:r>
      <w:r>
        <w:rPr>
          <w:rFonts w:ascii="Times New Roman" w:hAnsi="Times New Roman"/>
          <w:color w:val="000000"/>
          <w:sz w:val="24"/>
        </w:rPr>
        <w:t xml:space="preserve"> (</w:t>
      </w:r>
      <w:r>
        <w:rPr>
          <w:rFonts w:ascii="Times New Roman" w:hAnsi="Times New Roman"/>
          <w:i/>
          <w:color w:val="000000"/>
          <w:sz w:val="24"/>
        </w:rPr>
        <w:t>compliance with laws</w:t>
      </w:r>
      <w:r>
        <w:rPr>
          <w:rFonts w:ascii="Times New Roman" w:hAnsi="Times New Roman"/>
          <w:color w:val="000000"/>
          <w:sz w:val="24"/>
        </w:rPr>
        <w:t xml:space="preserve">), </w:t>
      </w:r>
      <w:r>
        <w:rPr>
          <w:rFonts w:ascii="Times New Roman" w:hAnsi="Times New Roman"/>
          <w:color w:val="000000"/>
          <w:sz w:val="24"/>
          <w:u w:val="single"/>
        </w:rPr>
        <w:t>paragraph (g)</w:t>
      </w:r>
      <w:r>
        <w:rPr>
          <w:rFonts w:ascii="Times New Roman" w:hAnsi="Times New Roman"/>
          <w:color w:val="000000"/>
          <w:sz w:val="24"/>
        </w:rPr>
        <w:t xml:space="preserve"> (</w:t>
      </w:r>
      <w:r>
        <w:rPr>
          <w:rFonts w:ascii="Times New Roman" w:hAnsi="Times New Roman"/>
          <w:i/>
          <w:color w:val="000000"/>
          <w:sz w:val="24"/>
        </w:rPr>
        <w:t>payments on receivables,</w:t>
      </w:r>
      <w:r>
        <w:rPr>
          <w:rFonts w:ascii="Times New Roman" w:hAnsi="Times New Roman"/>
          <w:color w:val="000000"/>
          <w:sz w:val="24"/>
        </w:rPr>
        <w:t xml:space="preserve"> </w:t>
      </w:r>
      <w:r>
        <w:rPr>
          <w:rFonts w:ascii="Times New Roman" w:hAnsi="Times New Roman"/>
          <w:i/>
          <w:color w:val="000000"/>
          <w:sz w:val="24"/>
        </w:rPr>
        <w:t>collection</w:t>
      </w:r>
      <w:r>
        <w:rPr>
          <w:rFonts w:ascii="Times New Roman" w:hAnsi="Times New Roman"/>
          <w:color w:val="000000"/>
          <w:sz w:val="24"/>
        </w:rPr>
        <w:t xml:space="preserve"> </w:t>
      </w:r>
      <w:r>
        <w:rPr>
          <w:rFonts w:ascii="Times New Roman" w:hAnsi="Times New Roman"/>
          <w:i/>
          <w:color w:val="000000"/>
          <w:sz w:val="24"/>
        </w:rPr>
        <w:t>accounts</w:t>
      </w:r>
      <w:r>
        <w:rPr>
          <w:rFonts w:ascii="Times New Roman" w:hAnsi="Times New Roman"/>
          <w:color w:val="000000"/>
          <w:sz w:val="24"/>
        </w:rPr>
        <w:t xml:space="preserve">), </w:t>
      </w:r>
      <w:r>
        <w:rPr>
          <w:rFonts w:ascii="Times New Roman" w:hAnsi="Times New Roman"/>
          <w:color w:val="000000"/>
          <w:sz w:val="24"/>
          <w:u w:val="single"/>
        </w:rPr>
        <w:t>paragraph (h)</w:t>
      </w:r>
      <w:r>
        <w:rPr>
          <w:rFonts w:ascii="Times New Roman" w:hAnsi="Times New Roman"/>
          <w:color w:val="000000"/>
          <w:sz w:val="24"/>
        </w:rPr>
        <w:t xml:space="preserve"> (</w:t>
      </w:r>
      <w:r>
        <w:rPr>
          <w:rFonts w:ascii="Times New Roman" w:hAnsi="Times New Roman"/>
          <w:i/>
          <w:color w:val="000000"/>
          <w:sz w:val="24"/>
        </w:rPr>
        <w:t>extension</w:t>
      </w:r>
      <w:r>
        <w:rPr>
          <w:rFonts w:ascii="Times New Roman" w:hAnsi="Times New Roman"/>
          <w:color w:val="000000"/>
          <w:sz w:val="24"/>
        </w:rPr>
        <w:t xml:space="preserve"> </w:t>
      </w:r>
      <w:r>
        <w:rPr>
          <w:rFonts w:ascii="Times New Roman" w:hAnsi="Times New Roman"/>
          <w:i/>
          <w:color w:val="000000"/>
          <w:sz w:val="24"/>
        </w:rPr>
        <w:t>or</w:t>
      </w:r>
      <w:r>
        <w:rPr>
          <w:rFonts w:ascii="Times New Roman" w:hAnsi="Times New Roman"/>
          <w:color w:val="000000"/>
          <w:sz w:val="24"/>
        </w:rPr>
        <w:t xml:space="preserve"> </w:t>
      </w:r>
      <w:r>
        <w:rPr>
          <w:rFonts w:ascii="Times New Roman" w:hAnsi="Times New Roman"/>
          <w:i/>
          <w:color w:val="000000"/>
          <w:sz w:val="24"/>
        </w:rPr>
        <w:t>amendment</w:t>
      </w:r>
      <w:r>
        <w:rPr>
          <w:rFonts w:ascii="Times New Roman" w:hAnsi="Times New Roman"/>
          <w:color w:val="000000"/>
          <w:sz w:val="24"/>
        </w:rPr>
        <w:t xml:space="preserve"> </w:t>
      </w:r>
      <w:r>
        <w:rPr>
          <w:rFonts w:ascii="Times New Roman" w:hAnsi="Times New Roman"/>
          <w:i/>
          <w:color w:val="000000"/>
          <w:sz w:val="24"/>
        </w:rPr>
        <w:t>of</w:t>
      </w:r>
      <w:r>
        <w:rPr>
          <w:rFonts w:ascii="Times New Roman" w:hAnsi="Times New Roman"/>
          <w:color w:val="000000"/>
          <w:sz w:val="24"/>
        </w:rPr>
        <w:t xml:space="preserve"> </w:t>
      </w:r>
      <w:r>
        <w:rPr>
          <w:rFonts w:ascii="Times New Roman" w:hAnsi="Times New Roman"/>
          <w:i/>
          <w:color w:val="000000"/>
          <w:sz w:val="24"/>
        </w:rPr>
        <w:t>pool</w:t>
      </w:r>
      <w:r>
        <w:rPr>
          <w:rFonts w:ascii="Times New Roman" w:hAnsi="Times New Roman"/>
          <w:color w:val="000000"/>
          <w:sz w:val="24"/>
        </w:rPr>
        <w:t xml:space="preserve"> </w:t>
      </w:r>
      <w:r>
        <w:rPr>
          <w:rFonts w:ascii="Times New Roman" w:hAnsi="Times New Roman"/>
          <w:i/>
          <w:color w:val="000000"/>
          <w:sz w:val="24"/>
        </w:rPr>
        <w:t>receivables</w:t>
      </w:r>
      <w:r>
        <w:rPr>
          <w:rFonts w:ascii="Times New Roman" w:hAnsi="Times New Roman"/>
          <w:color w:val="000000"/>
          <w:sz w:val="24"/>
        </w:rPr>
        <w:t xml:space="preserve">), </w:t>
      </w:r>
      <w:r>
        <w:rPr>
          <w:rFonts w:ascii="Times New Roman" w:hAnsi="Times New Roman"/>
          <w:color w:val="000000"/>
          <w:sz w:val="24"/>
          <w:u w:val="single"/>
        </w:rPr>
        <w:t>paragraph (i)</w:t>
      </w:r>
      <w:r>
        <w:rPr>
          <w:rFonts w:ascii="Times New Roman" w:hAnsi="Times New Roman"/>
          <w:color w:val="000000"/>
          <w:sz w:val="24"/>
        </w:rPr>
        <w:t xml:space="preserve"> (</w:t>
      </w:r>
      <w:r>
        <w:rPr>
          <w:rFonts w:ascii="Times New Roman" w:hAnsi="Times New Roman"/>
          <w:i/>
          <w:color w:val="000000"/>
          <w:sz w:val="24"/>
        </w:rPr>
        <w:t>change in credit and collection policy</w:t>
      </w:r>
      <w:r>
        <w:rPr>
          <w:rFonts w:ascii="Times New Roman" w:hAnsi="Times New Roman"/>
          <w:color w:val="000000"/>
          <w:sz w:val="24"/>
        </w:rPr>
        <w:t xml:space="preserve">), </w:t>
      </w:r>
      <w:r>
        <w:rPr>
          <w:rFonts w:ascii="Times New Roman" w:hAnsi="Times New Roman"/>
          <w:color w:val="000000"/>
          <w:sz w:val="24"/>
          <w:u w:val="single"/>
        </w:rPr>
        <w:t>paragraph (l)</w:t>
      </w:r>
      <w:r>
        <w:rPr>
          <w:rFonts w:ascii="Times New Roman" w:hAnsi="Times New Roman"/>
          <w:color w:val="000000"/>
          <w:sz w:val="24"/>
        </w:rPr>
        <w:t xml:space="preserve"> (</w:t>
      </w:r>
      <w:r>
        <w:rPr>
          <w:rFonts w:ascii="Times New Roman" w:hAnsi="Times New Roman"/>
          <w:i/>
          <w:color w:val="000000"/>
          <w:sz w:val="24"/>
        </w:rPr>
        <w:t>change in payment instructions to obligors</w:t>
      </w:r>
      <w:r>
        <w:rPr>
          <w:rFonts w:ascii="Times New Roman" w:hAnsi="Times New Roman"/>
          <w:color w:val="000000"/>
          <w:sz w:val="24"/>
        </w:rPr>
        <w:t xml:space="preserve">), </w:t>
      </w:r>
      <w:r>
        <w:rPr>
          <w:rFonts w:ascii="Times New Roman" w:hAnsi="Times New Roman"/>
          <w:color w:val="000000"/>
          <w:sz w:val="24"/>
          <w:u w:val="single"/>
        </w:rPr>
        <w:t>paragraph (m)</w:t>
      </w:r>
      <w:r>
        <w:rPr>
          <w:rFonts w:ascii="Times New Roman" w:hAnsi="Times New Roman"/>
          <w:color w:val="000000"/>
          <w:sz w:val="24"/>
        </w:rPr>
        <w:t xml:space="preserve"> (security interests, etc.), </w:t>
      </w:r>
      <w:r>
        <w:rPr>
          <w:rFonts w:ascii="Times New Roman" w:hAnsi="Times New Roman"/>
          <w:color w:val="000000"/>
          <w:sz w:val="24"/>
          <w:u w:val="single"/>
        </w:rPr>
        <w:t>paragraph (p)</w:t>
      </w:r>
      <w:r>
        <w:rPr>
          <w:rFonts w:ascii="Times New Roman" w:hAnsi="Times New Roman"/>
          <w:color w:val="000000"/>
          <w:sz w:val="24"/>
        </w:rPr>
        <w:t xml:space="preserve"> (</w:t>
      </w:r>
      <w:r>
        <w:rPr>
          <w:rFonts w:ascii="Times New Roman" w:hAnsi="Times New Roman"/>
          <w:i/>
          <w:color w:val="000000"/>
          <w:sz w:val="24"/>
        </w:rPr>
        <w:t>anti-money laundering/international trade law compliance</w:t>
      </w:r>
      <w:r>
        <w:rPr>
          <w:rFonts w:ascii="Times New Roman" w:hAnsi="Times New Roman"/>
          <w:color w:val="000000"/>
          <w:sz w:val="24"/>
        </w:rPr>
        <w:t>) of Part 2 (</w:t>
      </w:r>
      <w:r>
        <w:rPr>
          <w:rFonts w:ascii="Times New Roman" w:hAnsi="Times New Roman"/>
          <w:i/>
          <w:color w:val="000000"/>
          <w:sz w:val="24"/>
        </w:rPr>
        <w:t>Covenants of the Servicer and the Ashland</w:t>
      </w:r>
      <w:r>
        <w:rPr>
          <w:rFonts w:ascii="Times New Roman" w:hAnsi="Times New Roman"/>
          <w:color w:val="000000"/>
          <w:sz w:val="24"/>
        </w:rPr>
        <w:t xml:space="preserve"> </w:t>
      </w:r>
      <w:r>
        <w:rPr>
          <w:rFonts w:ascii="Times New Roman" w:hAnsi="Times New Roman"/>
          <w:i/>
          <w:color w:val="000000"/>
          <w:sz w:val="24"/>
        </w:rPr>
        <w:t>Sub-Servicers</w:t>
      </w:r>
      <w:r>
        <w:rPr>
          <w:rFonts w:ascii="Times New Roman" w:hAnsi="Times New Roman"/>
          <w:color w:val="000000"/>
          <w:sz w:val="24"/>
        </w:rPr>
        <w:t>) of Schedule 4 (</w:t>
      </w:r>
      <w:r>
        <w:rPr>
          <w:rFonts w:ascii="Times New Roman" w:hAnsi="Times New Roman"/>
          <w:i/>
          <w:color w:val="000000"/>
          <w:sz w:val="24"/>
        </w:rPr>
        <w:t>Covenants</w:t>
      </w:r>
      <w:r>
        <w:rPr>
          <w:rFonts w:ascii="Times New Roman" w:hAnsi="Times New Roman"/>
          <w:color w:val="000000"/>
          <w:sz w:val="24"/>
        </w:rPr>
        <w:t xml:space="preserve">) to the Master Framework Agreement, (any of the preceding parenthetical phrases in this </w:t>
      </w:r>
      <w:r>
        <w:rPr>
          <w:rFonts w:ascii="Times New Roman" w:hAnsi="Times New Roman"/>
          <w:color w:val="000000"/>
          <w:sz w:val="24"/>
          <w:u w:val="single"/>
        </w:rPr>
        <w:t>clause (i)</w:t>
      </w:r>
      <w:r>
        <w:rPr>
          <w:rFonts w:ascii="Times New Roman" w:hAnsi="Times New Roman"/>
          <w:color w:val="000000"/>
          <w:sz w:val="24"/>
        </w:rPr>
        <w:t xml:space="preserve"> are for purposes of reference only and shall not otherwise affect the meaning or interpretation of any provision hereof) or (ii) to be performed or observed under any other provision of this Agreement or any provision of any other Transaction Document to which it is a party and such default in the case of this </w:t>
      </w:r>
      <w:r>
        <w:rPr>
          <w:rFonts w:ascii="Times New Roman" w:hAnsi="Times New Roman"/>
          <w:color w:val="000000"/>
          <w:sz w:val="24"/>
          <w:u w:val="single"/>
        </w:rPr>
        <w:t>clause (ii)</w:t>
      </w:r>
      <w:r>
        <w:rPr>
          <w:rFonts w:ascii="Times New Roman" w:hAnsi="Times New Roman"/>
          <w:color w:val="000000"/>
          <w:sz w:val="24"/>
        </w:rPr>
        <w:t xml:space="preserve"> shall continue for thirty (30) days after the earlier to occur of (A) receipt of notice thereof from any Group Agent, any Purchaser or the Administrative Agent or (B) knowledge thereof by a Responsible Officer; or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(e) the Performance Guarantor shall default in any material respect in the performance of any undertaking (i) to be performed or observed under </w:t>
      </w:r>
      <w:r>
        <w:rPr>
          <w:rFonts w:ascii="Times New Roman" w:hAnsi="Times New Roman"/>
          <w:color w:val="000000"/>
          <w:sz w:val="24"/>
          <w:u w:val="single"/>
        </w:rPr>
        <w:t>paragraph (c)</w:t>
      </w:r>
      <w:r>
        <w:rPr>
          <w:rFonts w:ascii="Times New Roman" w:hAnsi="Times New Roman"/>
          <w:color w:val="000000"/>
          <w:sz w:val="24"/>
        </w:rPr>
        <w:t xml:space="preserve"> (</w:t>
      </w:r>
      <w:r>
        <w:rPr>
          <w:rFonts w:ascii="Times New Roman" w:hAnsi="Times New Roman"/>
          <w:i/>
          <w:color w:val="000000"/>
          <w:sz w:val="24"/>
        </w:rPr>
        <w:t>conduct of business</w:t>
      </w:r>
      <w:r>
        <w:rPr>
          <w:rFonts w:ascii="Times New Roman" w:hAnsi="Times New Roman"/>
          <w:color w:val="000000"/>
          <w:sz w:val="24"/>
        </w:rPr>
        <w:t xml:space="preserve">), </w:t>
      </w:r>
      <w:r>
        <w:rPr>
          <w:rFonts w:ascii="Times New Roman" w:hAnsi="Times New Roman"/>
          <w:color w:val="000000"/>
          <w:sz w:val="24"/>
          <w:u w:val="single"/>
        </w:rPr>
        <w:t>paragraph (d)</w:t>
      </w:r>
      <w:r>
        <w:rPr>
          <w:rFonts w:ascii="Times New Roman" w:hAnsi="Times New Roman"/>
          <w:color w:val="000000"/>
          <w:sz w:val="24"/>
        </w:rPr>
        <w:t xml:space="preserve"> (</w:t>
      </w:r>
      <w:r>
        <w:rPr>
          <w:rFonts w:ascii="Times New Roman" w:hAnsi="Times New Roman"/>
          <w:i/>
          <w:color w:val="000000"/>
          <w:sz w:val="24"/>
        </w:rPr>
        <w:t>compliance with laws</w:t>
      </w:r>
      <w:r>
        <w:rPr>
          <w:rFonts w:ascii="Times New Roman" w:hAnsi="Times New Roman"/>
          <w:color w:val="000000"/>
          <w:sz w:val="24"/>
        </w:rPr>
        <w:t xml:space="preserve">), </w:t>
      </w:r>
      <w:r>
        <w:rPr>
          <w:rFonts w:ascii="Times New Roman" w:hAnsi="Times New Roman"/>
          <w:color w:val="000000"/>
          <w:sz w:val="24"/>
          <w:u w:val="single"/>
        </w:rPr>
        <w:t>paragraph (g)</w:t>
      </w:r>
      <w:r>
        <w:rPr>
          <w:rFonts w:ascii="Times New Roman" w:hAnsi="Times New Roman"/>
          <w:color w:val="000000"/>
          <w:sz w:val="24"/>
        </w:rPr>
        <w:t xml:space="preserve"> (</w:t>
      </w:r>
      <w:r>
        <w:rPr>
          <w:rFonts w:ascii="Times New Roman" w:hAnsi="Times New Roman"/>
          <w:i/>
          <w:color w:val="000000"/>
          <w:sz w:val="24"/>
        </w:rPr>
        <w:t>anti-money laundering/international trade law compliance</w:t>
      </w:r>
      <w:r>
        <w:rPr>
          <w:rFonts w:ascii="Times New Roman" w:hAnsi="Times New Roman"/>
          <w:color w:val="000000"/>
          <w:sz w:val="24"/>
        </w:rPr>
        <w:t>) of Part 3 (</w:t>
      </w:r>
      <w:r>
        <w:rPr>
          <w:rFonts w:ascii="Times New Roman" w:hAnsi="Times New Roman"/>
          <w:i/>
          <w:color w:val="000000"/>
          <w:sz w:val="24"/>
        </w:rPr>
        <w:t>Covenants of the Performance Guarantor</w:t>
      </w:r>
      <w:r>
        <w:rPr>
          <w:rFonts w:ascii="Times New Roman" w:hAnsi="Times New Roman"/>
          <w:color w:val="000000"/>
          <w:sz w:val="24"/>
        </w:rPr>
        <w:t>) of Schedule 4 (</w:t>
      </w:r>
      <w:r>
        <w:rPr>
          <w:rFonts w:ascii="Times New Roman" w:hAnsi="Times New Roman"/>
          <w:i/>
          <w:color w:val="000000"/>
          <w:sz w:val="24"/>
        </w:rPr>
        <w:t>Covenants</w:t>
      </w:r>
      <w:r>
        <w:rPr>
          <w:rFonts w:ascii="Times New Roman" w:hAnsi="Times New Roman"/>
          <w:color w:val="000000"/>
          <w:sz w:val="24"/>
        </w:rPr>
        <w:t xml:space="preserve">) to the Master Framework Agreement, (any of the preceding parenthetical phrases in this </w:t>
      </w:r>
      <w:r>
        <w:rPr>
          <w:rFonts w:ascii="Times New Roman" w:hAnsi="Times New Roman"/>
          <w:color w:val="000000"/>
          <w:sz w:val="24"/>
          <w:u w:val="single"/>
        </w:rPr>
        <w:t>clause (i)</w:t>
      </w:r>
      <w:r>
        <w:rPr>
          <w:rFonts w:ascii="Times New Roman" w:hAnsi="Times New Roman"/>
          <w:color w:val="000000"/>
          <w:sz w:val="24"/>
        </w:rPr>
        <w:t xml:space="preserve"> are for purposes of reference only and shall not otherwise affect the meaning or interpretation of any provision hereof) or (ii) to be performed or observed under any other provision of this Agreement or any provision of any other Transaction Document to which it is a party and such default in the case of this </w:t>
      </w:r>
      <w:r>
        <w:rPr>
          <w:rFonts w:ascii="Times New Roman" w:hAnsi="Times New Roman"/>
          <w:color w:val="000000"/>
          <w:sz w:val="24"/>
          <w:u w:val="single"/>
        </w:rPr>
        <w:t>clause (ii)</w:t>
      </w:r>
      <w:r>
        <w:rPr>
          <w:rFonts w:ascii="Times New Roman" w:hAnsi="Times New Roman"/>
          <w:color w:val="000000"/>
          <w:sz w:val="24"/>
        </w:rPr>
        <w:t xml:space="preserve"> shall continue for thirty (30) days after the earlier to occur of (A) receipt of notice thereof from any Group Agent, any Purchaser or the Administrative Agent or (B) knowledge thereof by a Responsible Officer; or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(f) any Originator shall default in any material respect in the performance of any undertaking (i) to be performed or observed under </w:t>
      </w:r>
      <w:r>
        <w:rPr>
          <w:rFonts w:ascii="Times New Roman" w:hAnsi="Times New Roman"/>
          <w:color w:val="000000"/>
          <w:sz w:val="24"/>
          <w:u w:val="single"/>
        </w:rPr>
        <w:t>paragraph (b)(i)</w:t>
      </w:r>
      <w:r>
        <w:rPr>
          <w:rFonts w:ascii="Times New Roman" w:hAnsi="Times New Roman"/>
          <w:color w:val="000000"/>
          <w:sz w:val="24"/>
        </w:rPr>
        <w:t xml:space="preserve"> (</w:t>
      </w:r>
      <w:r>
        <w:rPr>
          <w:rFonts w:ascii="Times New Roman" w:hAnsi="Times New Roman"/>
          <w:i/>
          <w:color w:val="000000"/>
          <w:sz w:val="24"/>
        </w:rPr>
        <w:t>notice of events of termination or unmatured events of termination</w:t>
      </w:r>
      <w:r>
        <w:rPr>
          <w:rFonts w:ascii="Times New Roman" w:hAnsi="Times New Roman"/>
          <w:color w:val="000000"/>
          <w:sz w:val="24"/>
        </w:rPr>
        <w:t xml:space="preserve">), </w:t>
      </w:r>
      <w:r>
        <w:rPr>
          <w:rFonts w:ascii="Times New Roman" w:hAnsi="Times New Roman"/>
          <w:color w:val="000000"/>
          <w:sz w:val="24"/>
          <w:u w:val="single"/>
        </w:rPr>
        <w:t>paragraph (c)</w:t>
      </w:r>
      <w:r>
        <w:rPr>
          <w:rFonts w:ascii="Times New Roman" w:hAnsi="Times New Roman"/>
          <w:color w:val="000000"/>
          <w:sz w:val="24"/>
        </w:rPr>
        <w:t xml:space="preserve"> (</w:t>
      </w:r>
      <w:r>
        <w:rPr>
          <w:rFonts w:ascii="Times New Roman" w:hAnsi="Times New Roman"/>
          <w:i/>
          <w:color w:val="000000"/>
          <w:sz w:val="24"/>
        </w:rPr>
        <w:t>conduct of business</w:t>
      </w:r>
      <w:r>
        <w:rPr>
          <w:rFonts w:ascii="Times New Roman" w:hAnsi="Times New Roman"/>
          <w:color w:val="000000"/>
          <w:sz w:val="24"/>
        </w:rPr>
        <w:t xml:space="preserve">), </w:t>
      </w:r>
      <w:r>
        <w:rPr>
          <w:rFonts w:ascii="Times New Roman" w:hAnsi="Times New Roman"/>
          <w:color w:val="000000"/>
          <w:sz w:val="24"/>
          <w:u w:val="single"/>
        </w:rPr>
        <w:t>paragraph (d)</w:t>
      </w:r>
      <w:r>
        <w:rPr>
          <w:rFonts w:ascii="Times New Roman" w:hAnsi="Times New Roman"/>
          <w:color w:val="000000"/>
          <w:sz w:val="24"/>
        </w:rPr>
        <w:t xml:space="preserve"> (</w:t>
      </w:r>
      <w:r>
        <w:rPr>
          <w:rFonts w:ascii="Times New Roman" w:hAnsi="Times New Roman"/>
          <w:i/>
          <w:color w:val="000000"/>
          <w:sz w:val="24"/>
        </w:rPr>
        <w:t>compliance with laws</w:t>
      </w:r>
      <w:r>
        <w:rPr>
          <w:rFonts w:ascii="Times New Roman" w:hAnsi="Times New Roman"/>
          <w:color w:val="000000"/>
          <w:sz w:val="24"/>
        </w:rPr>
        <w:t xml:space="preserve">), </w:t>
      </w:r>
      <w:r>
        <w:rPr>
          <w:rFonts w:ascii="Times New Roman" w:hAnsi="Times New Roman"/>
          <w:color w:val="000000"/>
          <w:sz w:val="24"/>
          <w:u w:val="single"/>
        </w:rPr>
        <w:t>paragraph (f)</w:t>
      </w:r>
      <w:r>
        <w:rPr>
          <w:rFonts w:ascii="Times New Roman" w:hAnsi="Times New Roman"/>
          <w:color w:val="000000"/>
          <w:sz w:val="24"/>
        </w:rPr>
        <w:t xml:space="preserve"> (</w:t>
      </w:r>
      <w:r>
        <w:rPr>
          <w:rFonts w:ascii="Times New Roman" w:hAnsi="Times New Roman"/>
          <w:i/>
          <w:color w:val="000000"/>
          <w:sz w:val="24"/>
        </w:rPr>
        <w:t>payments on receivables, collection accounts</w:t>
      </w:r>
      <w:r>
        <w:rPr>
          <w:rFonts w:ascii="Times New Roman" w:hAnsi="Times New Roman"/>
          <w:color w:val="000000"/>
          <w:sz w:val="24"/>
        </w:rPr>
        <w:t xml:space="preserve">), </w:t>
      </w:r>
      <w:r>
        <w:rPr>
          <w:rFonts w:ascii="Times New Roman" w:hAnsi="Times New Roman"/>
          <w:color w:val="000000"/>
          <w:sz w:val="24"/>
          <w:u w:val="single"/>
        </w:rPr>
        <w:t>paragraph (g)</w:t>
      </w:r>
      <w:r>
        <w:rPr>
          <w:rFonts w:ascii="Times New Roman" w:hAnsi="Times New Roman"/>
          <w:color w:val="000000"/>
          <w:sz w:val="24"/>
        </w:rPr>
        <w:t xml:space="preserve"> (</w:t>
      </w:r>
      <w:r>
        <w:rPr>
          <w:rFonts w:ascii="Times New Roman" w:hAnsi="Times New Roman"/>
          <w:i/>
          <w:color w:val="000000"/>
          <w:sz w:val="24"/>
        </w:rPr>
        <w:t>sales, liens, etc.</w:t>
      </w:r>
      <w:r>
        <w:rPr>
          <w:rFonts w:ascii="Times New Roman" w:hAnsi="Times New Roman"/>
          <w:color w:val="000000"/>
          <w:sz w:val="24"/>
        </w:rPr>
        <w:t xml:space="preserve">), </w:t>
      </w:r>
      <w:r>
        <w:rPr>
          <w:rFonts w:ascii="Times New Roman" w:hAnsi="Times New Roman"/>
          <w:color w:val="000000"/>
          <w:sz w:val="24"/>
          <w:u w:val="single"/>
        </w:rPr>
        <w:t>paragraph (h)</w:t>
      </w:r>
      <w:r>
        <w:rPr>
          <w:rFonts w:ascii="Times New Roman" w:hAnsi="Times New Roman"/>
          <w:color w:val="000000"/>
          <w:sz w:val="24"/>
        </w:rPr>
        <w:t xml:space="preserve"> (</w:t>
      </w:r>
      <w:r>
        <w:rPr>
          <w:rFonts w:ascii="Times New Roman" w:hAnsi="Times New Roman"/>
          <w:i/>
          <w:color w:val="000000"/>
          <w:sz w:val="24"/>
        </w:rPr>
        <w:t>extension or amendment of pool receivables</w:t>
      </w:r>
      <w:r>
        <w:rPr>
          <w:rFonts w:ascii="Times New Roman" w:hAnsi="Times New Roman"/>
          <w:color w:val="000000"/>
          <w:sz w:val="24"/>
        </w:rPr>
        <w:t xml:space="preserve">), </w:t>
      </w:r>
      <w:r>
        <w:rPr>
          <w:rFonts w:ascii="Times New Roman" w:hAnsi="Times New Roman"/>
          <w:color w:val="000000"/>
          <w:sz w:val="24"/>
          <w:u w:val="single"/>
        </w:rPr>
        <w:t>paragraph (j)</w:t>
      </w:r>
      <w:r>
        <w:rPr>
          <w:rFonts w:ascii="Times New Roman" w:hAnsi="Times New Roman"/>
          <w:color w:val="000000"/>
          <w:sz w:val="24"/>
        </w:rPr>
        <w:t xml:space="preserve"> (</w:t>
      </w:r>
      <w:r>
        <w:rPr>
          <w:rFonts w:ascii="Times New Roman" w:hAnsi="Times New Roman"/>
          <w:i/>
          <w:color w:val="000000"/>
          <w:sz w:val="24"/>
        </w:rPr>
        <w:t>change</w:t>
      </w:r>
      <w:r>
        <w:rPr>
          <w:rFonts w:ascii="Times New Roman" w:hAnsi="Times New Roman"/>
          <w:color w:val="000000"/>
          <w:sz w:val="24"/>
        </w:rPr>
        <w:t xml:space="preserve"> </w:t>
      </w:r>
      <w:r>
        <w:rPr>
          <w:rFonts w:ascii="Times New Roman" w:hAnsi="Times New Roman"/>
          <w:i/>
          <w:color w:val="000000"/>
          <w:sz w:val="24"/>
        </w:rPr>
        <w:t>in</w:t>
      </w:r>
      <w:r>
        <w:rPr>
          <w:rFonts w:ascii="Times New Roman" w:hAnsi="Times New Roman"/>
          <w:color w:val="000000"/>
          <w:sz w:val="24"/>
        </w:rPr>
        <w:t xml:space="preserve"> </w:t>
      </w:r>
      <w:r>
        <w:rPr>
          <w:rFonts w:ascii="Times New Roman" w:hAnsi="Times New Roman"/>
          <w:i/>
          <w:color w:val="000000"/>
          <w:sz w:val="24"/>
        </w:rPr>
        <w:t>credit</w:t>
      </w:r>
      <w:r>
        <w:rPr>
          <w:rFonts w:ascii="Times New Roman" w:hAnsi="Times New Roman"/>
          <w:color w:val="000000"/>
          <w:sz w:val="24"/>
        </w:rPr>
        <w:t xml:space="preserve"> </w:t>
      </w:r>
      <w:r>
        <w:rPr>
          <w:rFonts w:ascii="Times New Roman" w:hAnsi="Times New Roman"/>
          <w:i/>
          <w:color w:val="000000"/>
          <w:sz w:val="24"/>
        </w:rPr>
        <w:t>and</w:t>
      </w:r>
      <w:r>
        <w:rPr>
          <w:rFonts w:ascii="Times New Roman" w:hAnsi="Times New Roman"/>
          <w:color w:val="000000"/>
          <w:sz w:val="24"/>
        </w:rPr>
        <w:t xml:space="preserve"> </w:t>
      </w:r>
      <w:r>
        <w:rPr>
          <w:rFonts w:ascii="Times New Roman" w:hAnsi="Times New Roman"/>
          <w:i/>
          <w:color w:val="000000"/>
          <w:sz w:val="24"/>
        </w:rPr>
        <w:t>collection</w:t>
      </w:r>
      <w:r>
        <w:rPr>
          <w:rFonts w:ascii="Times New Roman" w:hAnsi="Times New Roman"/>
          <w:color w:val="000000"/>
          <w:sz w:val="24"/>
        </w:rPr>
        <w:t xml:space="preserve"> </w:t>
      </w:r>
      <w:r>
        <w:rPr>
          <w:rFonts w:ascii="Times New Roman" w:hAnsi="Times New Roman"/>
          <w:i/>
          <w:color w:val="000000"/>
          <w:sz w:val="24"/>
        </w:rPr>
        <w:t>policy</w:t>
      </w:r>
      <w:r>
        <w:rPr>
          <w:rFonts w:ascii="Times New Roman" w:hAnsi="Times New Roman"/>
          <w:color w:val="000000"/>
          <w:sz w:val="24"/>
        </w:rPr>
        <w:t xml:space="preserve">), </w:t>
      </w:r>
      <w:r>
        <w:rPr>
          <w:rFonts w:ascii="Times New Roman" w:hAnsi="Times New Roman"/>
          <w:color w:val="000000"/>
          <w:sz w:val="24"/>
          <w:u w:val="single"/>
        </w:rPr>
        <w:t>paragraph (q)</w:t>
      </w:r>
      <w:r>
        <w:rPr>
          <w:rFonts w:ascii="Times New Roman" w:hAnsi="Times New Roman"/>
          <w:color w:val="000000"/>
          <w:sz w:val="24"/>
        </w:rPr>
        <w:t xml:space="preserve"> (</w:t>
      </w:r>
      <w:r>
        <w:rPr>
          <w:rFonts w:ascii="Times New Roman" w:hAnsi="Times New Roman"/>
          <w:i/>
          <w:color w:val="000000"/>
          <w:sz w:val="24"/>
        </w:rPr>
        <w:t>anti-money laundering/international trade law compliance</w:t>
      </w:r>
      <w:r>
        <w:rPr>
          <w:rFonts w:ascii="Times New Roman" w:hAnsi="Times New Roman"/>
          <w:color w:val="000000"/>
          <w:sz w:val="24"/>
        </w:rPr>
        <w:t>), of Part 4 (</w:t>
      </w:r>
      <w:r>
        <w:rPr>
          <w:rFonts w:ascii="Times New Roman" w:hAnsi="Times New Roman"/>
          <w:i/>
          <w:color w:val="000000"/>
          <w:sz w:val="24"/>
        </w:rPr>
        <w:t>Covenants of the Originators</w:t>
      </w:r>
      <w:r>
        <w:rPr>
          <w:rFonts w:ascii="Times New Roman" w:hAnsi="Times New Roman"/>
          <w:color w:val="000000"/>
          <w:sz w:val="24"/>
        </w:rPr>
        <w:t>) of Schedule 4 (</w:t>
      </w:r>
      <w:r>
        <w:rPr>
          <w:rFonts w:ascii="Times New Roman" w:hAnsi="Times New Roman"/>
          <w:i/>
          <w:color w:val="000000"/>
          <w:sz w:val="24"/>
        </w:rPr>
        <w:t>Covenants</w:t>
      </w:r>
      <w:r>
        <w:rPr>
          <w:rFonts w:ascii="Times New Roman" w:hAnsi="Times New Roman"/>
          <w:color w:val="000000"/>
          <w:sz w:val="24"/>
        </w:rPr>
        <w:t xml:space="preserve">) to the Master Framework Agreement (any of the preceding parenthetical phrases in this </w:t>
      </w:r>
      <w:r>
        <w:rPr>
          <w:rFonts w:ascii="Times New Roman" w:hAnsi="Times New Roman"/>
          <w:color w:val="000000"/>
          <w:sz w:val="24"/>
          <w:u w:val="single"/>
        </w:rPr>
        <w:t>clause (i)</w:t>
      </w:r>
      <w:r>
        <w:rPr>
          <w:rFonts w:ascii="Times New Roman" w:hAnsi="Times New Roman"/>
          <w:color w:val="000000"/>
          <w:sz w:val="24"/>
        </w:rPr>
        <w:t xml:space="preserve"> are for purposes of reference only and shall not otherwise affect the meaning or interpretation of any provision hereof) or (ii) to be performed or observed under any other provision of this Agreement or any provision of any other Transaction Document to which it is a party and such default in the case of this </w:t>
      </w:r>
      <w:r>
        <w:rPr>
          <w:rFonts w:ascii="Times New Roman" w:hAnsi="Times New Roman"/>
          <w:color w:val="000000"/>
          <w:sz w:val="24"/>
          <w:u w:val="single"/>
        </w:rPr>
        <w:t>clause (ii)</w:t>
      </w:r>
      <w:r>
        <w:rPr>
          <w:rFonts w:ascii="Times New Roman" w:hAnsi="Times New Roman"/>
          <w:color w:val="000000"/>
          <w:sz w:val="24"/>
        </w:rPr>
        <w:t xml:space="preserve"> shall continue for thirty (30) days after the earlier to occur of (A) receipt of notice thereof from any Group Agent, any Purchaser or the Administrative Agent or (B) knowledge thereof by a Responsible Officer; or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 any Insolvency Proceeding shall be instituted by or against the Seller, the Performance Guarantor, any Originator, or any Material Subsidiary of any Originator; or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(h) the Administrative Agent, on behalf of the Secured Parties, shall for any reason fail or cease to have a valid and enforceable first priority ownership or security interest in the Affected Assets, free and clear of any Adverse Claim; </w:t>
      </w:r>
      <w:r>
        <w:rPr>
          <w:rFonts w:ascii="Times New Roman" w:hAnsi="Times New Roman"/>
          <w:i/>
          <w:color w:val="000000"/>
          <w:sz w:val="24"/>
        </w:rPr>
        <w:t>provided</w:t>
      </w:r>
      <w:r>
        <w:rPr>
          <w:rFonts w:ascii="Times New Roman" w:hAnsi="Times New Roman"/>
          <w:color w:val="000000"/>
          <w:sz w:val="24"/>
        </w:rPr>
        <w:t xml:space="preserve"> that the forgoing </w:t>
      </w:r>
      <w:r>
        <w:rPr>
          <w:rFonts w:ascii="Times New Roman" w:hAnsi="Times New Roman"/>
          <w:color w:val="000000"/>
          <w:sz w:val="24"/>
          <w:u w:val="single"/>
        </w:rPr>
        <w:t>clause</w:t>
      </w:r>
    </w:p>
    <w:p>
      <w:pPr>
        <w:pStyle w:val="TextBody"/>
        <w:bidi w:val="0"/>
        <w:spacing w:before="240" w:after="283"/>
        <w:jc w:val="both"/>
        <w:rPr>
          <w:rFonts w:ascii="Times New Roman" w:hAnsi="Times New Roman"/>
          <w:sz w:val="24"/>
        </w:rPr>
      </w:pPr>
      <w:r>
        <w:rPr>
          <w:rFonts w:ascii="Times New Roman" w:hAnsi="Times New Roman"/>
          <w:color w:val="000000"/>
          <w:sz w:val="24"/>
          <w:u w:val="single"/>
        </w:rPr>
        <w:t>(e)</w:t>
      </w:r>
      <w:r>
        <w:rPr>
          <w:rFonts w:ascii="Times New Roman" w:hAnsi="Times New Roman"/>
          <w:color w:val="000000"/>
          <w:sz w:val="24"/>
        </w:rPr>
        <w:t xml:space="preserve"> shall not apply to any Receivable subject to a Deemed Collection and all required amounts with respect to which have been deposited into a Collection Account;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a Servicer Default shall have occurred (it being understood that if such Servicer Default is cured or waived, the related Event of Termination shall also be deemed cured or waived automatically);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 a Capital Coverage Deficit shall occur, and shall not have been cured for one (1) Business Day;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 the average for three consecutive Fiscal Months of the Sales Based Default Ratio is greater than 1.00%;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 the average for three consecutive Fiscal Months of the Delinquency Ratio is greater than 4.00%;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 the average for three consecutive Fiscal Months of the Dilution Ratio is greater than 7.00%; or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 the rolling average Days’ Sales Outstanding is greater than 75 days;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 (i) (A) failure of the Seller, Ashland or any Subsidiary thereof, or the Performance Guarantor to pay when due (subject to the delivery of any required notice, the expiration of any permitted grace period or both) any amounts due under any agreement to which any such Person is a party and under which any Debt having an aggregate outstanding principal amount (including amounts owing to all creditors under any combined or syndicated credit agreement) of greater than €10,000 in the case of the Seller or $100,000,000 (cumulative) in the case of Ashland and/or any Subsidiary thereof or (if different) the Performance Guarantor, shall be outstanding or (B) the occurrence of a cross-default as described in Section 8.01(e) of the Ashland Credit Agreement (dated July 22, 2022 without giving effect to any subsequent amendments and/or restatements); (ii) the default by the Seller, any Originator, or the Performance Guarantor (subject to the delivery of any required notice, the expiration of any permitted grace period or both) in the performance of any term, provision or condition contained in any agreement to which any such Person is a party (other than breach of any Financial Covenant) and under which any Debt owing by the Seller, any Originator, or the Performance Guarantor greater than such respective amounts was created or is governed, regardless of whether such event is an “event of default” or “default” under any such agreement, if the effect of such default is to cause, or to permit the holder of such Debt to cause, such Debt to become due and payable prior to its stated maturity; or (iii) any Debt owing by the Seller, any Originator, or the Performance Guarantor greater than such respective amounts shall be declared to be due and payable or required to be prepaid (other than by a regularly scheduled payment) prior to its stated maturity; or;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 a Material Adverse Effect shall have occurred with respect to the Seller, the Servicer, any Originator or the Performance Guarantor; or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(q) there shall be a Change in Control;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 a Purchase and Sale Termination Event shall have occurred under any Purchase and Sale Agreement; or</w:t>
      </w:r>
    </w:p>
    <w:p>
      <w:pPr>
        <w:pStyle w:val="TextBody"/>
        <w:bidi w:val="0"/>
        <w:spacing w:before="240" w:after="283"/>
        <w:jc w:val="both"/>
        <w:rPr>
          <w:rFonts w:ascii="Times New Roman" w:hAnsi="Times New Roman"/>
          <w:sz w:val="24"/>
        </w:rPr>
      </w:pPr>
      <w:r>
        <w:rPr>
          <w:rFonts w:ascii="Times New Roman" w:hAnsi="Times New Roman"/>
          <w:color w:val="000000"/>
          <w:sz w:val="24"/>
        </w:rPr>
        <w:t>(s) any audit of the Pool Receivables pursuant to Schedule 4 (</w:t>
      </w:r>
      <w:r>
        <w:rPr>
          <w:rFonts w:ascii="Times New Roman" w:hAnsi="Times New Roman"/>
          <w:i/>
          <w:color w:val="000000"/>
          <w:sz w:val="24"/>
        </w:rPr>
        <w:t>Covenants</w:t>
      </w:r>
      <w:r>
        <w:rPr>
          <w:rFonts w:ascii="Times New Roman" w:hAnsi="Times New Roman"/>
          <w:color w:val="000000"/>
          <w:sz w:val="24"/>
        </w:rPr>
        <w:t>) Part 2 (</w:t>
      </w:r>
      <w:r>
        <w:rPr>
          <w:rFonts w:ascii="Times New Roman" w:hAnsi="Times New Roman"/>
          <w:i/>
          <w:color w:val="000000"/>
          <w:sz w:val="24"/>
        </w:rPr>
        <w:t>Covenants of the Servicer and the Ashland Sub-Servicers</w:t>
      </w:r>
      <w:r>
        <w:rPr>
          <w:rFonts w:ascii="Times New Roman" w:hAnsi="Times New Roman"/>
          <w:color w:val="000000"/>
          <w:sz w:val="24"/>
        </w:rPr>
        <w:t>) paragraph (f) of the Master Framework or a Due Diligence Audit reveals elements which are reasonably likely to result in a Material Adverse Effect;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 any Person shall institute steps to terminate any Pension Plan if the assets of such Pension Plan are insufficient to satisfy all of its benefit liabilities (as determined under Title IV of ERISA), or a contribution failure occurs with respect to any Pension Plan which is sufficient to give rise to a lien under Section 302(f) of ERISA or the Seller or any ERISA Affiliate shall incur any material liability with respect to a Multiemployer Plan;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 any material provision of this Agreement, the Performance Guarantee or any other Transaction Document to which an Originator, the Servicer, the Performance Guarantor, or the Seller is a party shall cease to be in full force and effect or such Originator, the Servicer, the Performance Guarantor, or the Seller shall so state in writing;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 there is entered against the Performance Guarantor or any Material Subsidiary thereof (i) one or more final judgments or orders for the payment of money in an aggregate amount (as to all such judgments and orders) exceeding $100,000,000 (to the extent not covered by independent third-party insurance as to which the insurer is rated at least “A” by A.M. Best Company, has been notified of the potential claim and does not dispute coverage), or (ii) any one or more non-monetary final judgments that have, or would reasonably be expected to have, individually or in the aggregate, a Material Adverse Effect and, in either case, (A) enforcement proceedings are commenced by any creditor upon such judgment or order, or (B) there is a period of ten (10) consecutive days during which a stay of enforcement of such judgment, by reason of a pending appeal or otherwise, is not in effect; or</w:t>
      </w:r>
    </w:p>
    <w:p>
      <w:pPr>
        <w:pStyle w:val="TextBody"/>
        <w:bidi w:val="0"/>
        <w:spacing w:before="240" w:after="283"/>
        <w:jc w:val="both"/>
        <w:rPr>
          <w:rFonts w:ascii="Times New Roman" w:hAnsi="Times New Roman"/>
          <w:sz w:val="24"/>
        </w:rPr>
      </w:pPr>
      <w:r>
        <w:rPr>
          <w:rFonts w:ascii="Times New Roman" w:hAnsi="Times New Roman"/>
          <w:color w:val="000000"/>
          <w:sz w:val="24"/>
        </w:rPr>
        <w:t>(w) there is a breach of a Financial Covenant in the Ashland Credit Agreement or a Deemed Financial Covenant, as applicable; provided that, with respect to a breach of a Financial Covenant, (i) so long as Ashland is in good faith pursuing a waiver under the Ashland Credit Agreement, the breach of such Financial Covenant shall not constitute an Event of Termination until thirty (30) days after Ashland receives notice or otherwise obtains knowledge of such breach (the “</w:t>
      </w:r>
      <w:r>
        <w:rPr>
          <w:rFonts w:ascii="Times New Roman" w:hAnsi="Times New Roman"/>
          <w:color w:val="000000"/>
          <w:sz w:val="24"/>
          <w:u w:val="single"/>
        </w:rPr>
        <w:t>Financial Covenant Grace Period</w:t>
      </w:r>
      <w:r>
        <w:rPr>
          <w:rFonts w:ascii="Times New Roman" w:hAnsi="Times New Roman"/>
          <w:color w:val="000000"/>
          <w:sz w:val="24"/>
        </w:rPr>
        <w:t>”) and (ii) to the extent any such breach of a Financial Covenant is cured by Ashland or waived by the lenders under the Ashland Credit Agreement within the Financial Covenant Grace Period, the related Event of Termination hereunder shall also be deemed waived automatically but only so long as such waiver is granted at a time when each Group Agent (or its Affiliates) is then also a party to the Ashland Credit Agreement and have each consented to such waiver under the Ashland Credit Agreement (it being understood that the vote of Affiliates of a Group Agent party to the Ashland Credit Agreement shall be considered for purposes of determining consent).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then, and in any such event, the Administrative Agent may (or, at the direction of the Majority Group Agents shall) by notice to the Seller (x) declare the Termination Date to have occurred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(in which case the Termination Date shall be deemed to have occurred), (y) declare the Seller Obligation Final Due Date to have occurred (in which case the Seller Obligation Final Due Date shall be deemed to have occurred) and (z) declare the Aggregate Capital and all other Seller Obligations to be immediately due and payable (in which case the Aggregate Capital and all other Seller Obligations shall be immediately due and payable); </w:t>
      </w:r>
      <w:r>
        <w:rPr>
          <w:rFonts w:ascii="Times New Roman" w:hAnsi="Times New Roman"/>
          <w:color w:val="000000"/>
          <w:sz w:val="24"/>
          <w:u w:val="single"/>
        </w:rPr>
        <w:t>provided</w:t>
      </w:r>
      <w:r>
        <w:rPr>
          <w:rFonts w:ascii="Times New Roman" w:hAnsi="Times New Roman"/>
          <w:color w:val="000000"/>
          <w:sz w:val="24"/>
        </w:rPr>
        <w:t xml:space="preserve"> that, automatically upon the occurrence of any event (without any requirement for the giving of notice) described in </w:t>
      </w:r>
      <w:r>
        <w:rPr>
          <w:rFonts w:ascii="Times New Roman" w:hAnsi="Times New Roman"/>
          <w:color w:val="000000"/>
          <w:sz w:val="24"/>
          <w:u w:val="single"/>
        </w:rPr>
        <w:t>subsection (d)</w:t>
      </w:r>
      <w:r>
        <w:rPr>
          <w:rFonts w:ascii="Times New Roman" w:hAnsi="Times New Roman"/>
          <w:color w:val="000000"/>
          <w:sz w:val="24"/>
        </w:rPr>
        <w:t xml:space="preserve"> of this </w:t>
      </w:r>
      <w:r>
        <w:rPr>
          <w:rFonts w:ascii="Times New Roman" w:hAnsi="Times New Roman"/>
          <w:color w:val="000000"/>
          <w:sz w:val="24"/>
          <w:u w:val="single"/>
        </w:rPr>
        <w:t>Section 7.01</w:t>
      </w:r>
      <w:r>
        <w:rPr>
          <w:rFonts w:ascii="Times New Roman" w:hAnsi="Times New Roman"/>
          <w:color w:val="000000"/>
          <w:sz w:val="24"/>
        </w:rPr>
        <w:t xml:space="preserve"> with respect to the Seller, the Termination Date shall occur and the Aggregate Capital and all other Seller Obligations shall be immediately due and payable. Upon any such declaration or designation or upon such automatic termination, the Administrative Agent and the other Secured Parties shall have, in addition to the rights and remedies which they may have under this Agreement and the other Transaction Documents, all other rights and remedies provided after default under Applicable Law, which rights and remedies shall be cumulative. Any proceeds from liquidation of the Sold Assets and Seller Collateral shall be applied in the order of priority set forth in </w:t>
      </w:r>
      <w:r>
        <w:rPr>
          <w:rFonts w:ascii="Times New Roman" w:hAnsi="Times New Roman"/>
          <w:color w:val="000000"/>
          <w:sz w:val="24"/>
          <w:u w:val="single"/>
        </w:rPr>
        <w:t>Section 3.01</w:t>
      </w:r>
      <w:r>
        <w:rPr>
          <w:rFonts w:ascii="Times New Roman" w:hAnsi="Times New Roman"/>
          <w:color w:val="000000"/>
          <w:sz w:val="24"/>
        </w:rPr>
        <w:t>.</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VIII</w:t>
      </w:r>
    </w:p>
    <w:p>
      <w:pPr>
        <w:pStyle w:val="TextBody"/>
        <w:bidi w:val="0"/>
        <w:spacing w:before="240" w:after="283"/>
        <w:jc w:val="center"/>
        <w:rPr>
          <w:rFonts w:ascii="Times New Roman" w:hAnsi="Times New Roman"/>
          <w:sz w:val="24"/>
        </w:rPr>
      </w:pPr>
      <w:r>
        <w:rPr>
          <w:rFonts w:ascii="Times New Roman" w:hAnsi="Times New Roman"/>
          <w:b/>
          <w:color w:val="000000"/>
          <w:sz w:val="24"/>
        </w:rPr>
        <w:t>THE</w:t>
      </w:r>
      <w:r>
        <w:rPr>
          <w:rFonts w:ascii="Times New Roman" w:hAnsi="Times New Roman"/>
          <w:color w:val="000000"/>
          <w:sz w:val="24"/>
        </w:rPr>
        <w:t xml:space="preserve"> </w:t>
      </w:r>
      <w:r>
        <w:rPr>
          <w:rFonts w:ascii="Times New Roman" w:hAnsi="Times New Roman"/>
          <w:b/>
          <w:color w:val="000000"/>
          <w:sz w:val="24"/>
        </w:rPr>
        <w:t>ADMINISTRATIVE</w:t>
      </w:r>
      <w:r>
        <w:rPr>
          <w:rFonts w:ascii="Times New Roman" w:hAnsi="Times New Roman"/>
          <w:color w:val="000000"/>
          <w:sz w:val="24"/>
        </w:rPr>
        <w:t xml:space="preserve"> </w:t>
      </w:r>
      <w:r>
        <w:rPr>
          <w:rFonts w:ascii="Times New Roman" w:hAnsi="Times New Roman"/>
          <w:b/>
          <w:color w:val="000000"/>
          <w:sz w:val="24"/>
        </w:rPr>
        <w:t>AGENT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8.01. </w:t>
      </w:r>
      <w:r>
        <w:rPr>
          <w:rFonts w:ascii="Times New Roman" w:hAnsi="Times New Roman"/>
          <w:color w:val="000000"/>
          <w:sz w:val="24"/>
          <w:u w:val="single"/>
        </w:rPr>
        <w:t>Authorization and Action</w:t>
      </w:r>
      <w:r>
        <w:rPr>
          <w:rFonts w:ascii="Times New Roman" w:hAnsi="Times New Roman"/>
          <w:color w:val="000000"/>
          <w:sz w:val="24"/>
        </w:rPr>
        <w:t xml:space="preserve">. Each Purchaser Party hereby appoints and authorizes the Administrative Agent to take such action as agent in its name and on its behalf (and, for the purposes of Italian law, as its </w:t>
      </w:r>
      <w:r>
        <w:rPr>
          <w:rFonts w:ascii="Times New Roman" w:hAnsi="Times New Roman"/>
          <w:i/>
          <w:color w:val="000000"/>
          <w:sz w:val="24"/>
        </w:rPr>
        <w:t>mandatario con rappresentanza</w:t>
      </w:r>
      <w:r>
        <w:rPr>
          <w:rFonts w:ascii="Times New Roman" w:hAnsi="Times New Roman"/>
          <w:color w:val="000000"/>
          <w:sz w:val="24"/>
        </w:rPr>
        <w:t>) and to exercise such powers under this Agreement as are delegated to the Administrative Agent by the terms hereof, together with such powers as are reasonably incidental thereto. The Administrative Agent shall not have any duties other than those expressly set forth in the Transaction Documents, and no implied obligations or liabilities shall be read into any Transaction Document, or otherwise exist, against the Administrative Agent. The Administrative Agent does not assume, nor shall it be deemed to have assumed, any obligation to, or relationship of trust or agency with, the Seller or any Affiliate thereof or any Purchaser Party except for any obligations expressly set forth herein. Notwithstanding any provision of this Agreement or any other Transaction Document, in no event shall the Administrative Agent ever be required to take any action which exposes the Administrative Agent to personal liability or which is contrary to any provision of any Transaction Document or Applicable Law. By granting each mandate under this Article VIII, each Purchaser Party acknowledges the conflict of interest of the Administrative Agent and that the performance of the mandate may cause the Administrative Agent to execute agreements with itself. For such purpose, pursuant to Articles 1394 and 1395 of the Italian Civil Code, each Purchaser Party expressly authorises the Administrative Agent to perform each mandate also in conflict of interest and execution agreements with itself, and hereby waive any and all actions to obtain a declaration of voidance, invalidation and/or nullity of the relevant mandate as well as any other actions related to it.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8.02. </w:t>
      </w:r>
      <w:r>
        <w:rPr>
          <w:rFonts w:ascii="Times New Roman" w:hAnsi="Times New Roman"/>
          <w:color w:val="000000"/>
          <w:sz w:val="24"/>
          <w:u w:val="single"/>
        </w:rPr>
        <w:t>Administrative Agent’s Reliance, Etc</w:t>
      </w:r>
      <w:r>
        <w:rPr>
          <w:rFonts w:ascii="Times New Roman" w:hAnsi="Times New Roman"/>
          <w:color w:val="000000"/>
          <w:sz w:val="24"/>
        </w:rPr>
        <w:t xml:space="preserve">. Neither the Administrative Agent nor any of its directors, officers, agents or employees shall be liable for any action taken or omitted to be taken by it or them as Administrative Agent under or in connection with this Agreement (including, without limitation, the Administrative Agent’s servicing, administering or collecting Pool Receivables in the event it replaces the Servicer in such capacity pursuant to </w:t>
      </w:r>
      <w:r>
        <w:rPr>
          <w:rFonts w:ascii="Times New Roman" w:hAnsi="Times New Roman"/>
          <w:color w:val="000000"/>
          <w:sz w:val="24"/>
          <w:u w:val="single"/>
        </w:rPr>
        <w:t>Section 6.01</w:t>
      </w:r>
      <w:r>
        <w:rPr>
          <w:rFonts w:ascii="Times New Roman" w:hAnsi="Times New Roman"/>
          <w:color w:val="000000"/>
          <w:sz w:val="24"/>
        </w:rPr>
        <w:t xml:space="preserve">, in the absence of its or their own gross negligence or willful misconduct. Without limiting the generality of the foregoing, the Administrative Agent: (a) may consult with legal counsel (including counsel for any Purchaser Party or the Servicer), independent certified public accountants and other experts selected by it and shall not be liable for any action taken or omitted to be taken in good faith by it in accordance with the advice of such counsel,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accountants or experts; (b) makes no warranty or representation to any Purchaser Party (whether written or oral) and shall not be responsible to any Purchaser Party for any statements, warranties or representations (whether written or oral) made by any other party in or in connection with this Agreement; (c) shall not have any duty to ascertain or to inquire as to the performance or observance of any of the terms, covenants or conditions of this Agreement on the part of any Purchaser Party or to inspect the property (including the books and records) of any Purchaser Party; (d) shall not be responsible to any Purchaser Party for the due execution, legality, validity, enforceability, genuineness, sufficiency or value of this Agreement or any other instrument or document furnished pursuant hereto; and (e) shall be entitled to rely, and shall be fully protected in so relying, upon any notice (including notice by telephone), consent, certificate or other instrument or writing (which may be by facsimile) believed by it to be genuine and signed or sent by the proper party or parties.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8.03. </w:t>
      </w:r>
      <w:r>
        <w:rPr>
          <w:rFonts w:ascii="Times New Roman" w:hAnsi="Times New Roman"/>
          <w:color w:val="000000"/>
          <w:sz w:val="24"/>
          <w:u w:val="single"/>
        </w:rPr>
        <w:t>Administrative Agent and Affiliates</w:t>
      </w:r>
      <w:r>
        <w:rPr>
          <w:rFonts w:ascii="Times New Roman" w:hAnsi="Times New Roman"/>
          <w:color w:val="000000"/>
          <w:sz w:val="24"/>
        </w:rPr>
        <w:t>. With respect to any Investment or interests therein owned by any Purchaser Party that is also the Administrative Agent, such Purchaser Party shall have the same rights and powers under this Agreement as any other Purchaser Party and may exercise the same as though it were not the Administrative Agent. The Administrative Agent and any of its Affiliates may generally engage in any kind of business with the Seller or any Affiliate thereof and any Person who may do business with or own securities of the Seller or any Affiliate thereof, all as if the Administrative Agent were not the Administrative Agent hereunder and without any duty to account therefor to any other Secured Party.</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8.04. </w:t>
      </w:r>
      <w:r>
        <w:rPr>
          <w:rFonts w:ascii="Times New Roman" w:hAnsi="Times New Roman"/>
          <w:color w:val="000000"/>
          <w:sz w:val="24"/>
          <w:u w:val="single"/>
        </w:rPr>
        <w:t>Indemnification of Administrative Agent</w:t>
      </w:r>
      <w:r>
        <w:rPr>
          <w:rFonts w:ascii="Times New Roman" w:hAnsi="Times New Roman"/>
          <w:color w:val="000000"/>
          <w:sz w:val="24"/>
        </w:rPr>
        <w:t xml:space="preserve">. Each Committed Purchaser agrees to indemnify the Administrative Agent (to the extent not reimbursed by the Seller or any Affiliate thereof), ratably according to the respective Percentage of such Committed Purchaser, from and against any and all liabilities, obligations, losses, damages, penalties, actions, judgments, suits, costs, expenses or disbursements of any kind or nature whatsoever which may be imposed on, incurred by, or asserted against the Administrative Agent in any way relating to or arising out of this Agreement or any other Transaction Document or any action taken or omitted by the Administrative Agent under this Agreement or any other Transaction Document; </w:t>
      </w:r>
      <w:r>
        <w:rPr>
          <w:rFonts w:ascii="Times New Roman" w:hAnsi="Times New Roman"/>
          <w:color w:val="000000"/>
          <w:sz w:val="24"/>
          <w:u w:val="single"/>
        </w:rPr>
        <w:t>provided</w:t>
      </w:r>
      <w:r>
        <w:rPr>
          <w:rFonts w:ascii="Times New Roman" w:hAnsi="Times New Roman"/>
          <w:color w:val="000000"/>
          <w:sz w:val="24"/>
        </w:rPr>
        <w:t xml:space="preserve"> that no Committed Purchaser shall be liable for any portion of such liabilities, obligations, losses, damages, penalties, actions, judgments, suits, costs, expenses or disbursements resulting from the Administrative Agent’s gross negligence or willful misconduct and the Administrative Agent shall consult with each Group Agent where reasonably practicable to discuss costs related to such actions undertaken by the Administrative Agent.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8.05. </w:t>
      </w:r>
      <w:r>
        <w:rPr>
          <w:rFonts w:ascii="Times New Roman" w:hAnsi="Times New Roman"/>
          <w:color w:val="000000"/>
          <w:sz w:val="24"/>
          <w:u w:val="single"/>
        </w:rPr>
        <w:t>Delegation of Duties</w:t>
      </w:r>
      <w:r>
        <w:rPr>
          <w:rFonts w:ascii="Times New Roman" w:hAnsi="Times New Roman"/>
          <w:color w:val="000000"/>
          <w:sz w:val="24"/>
        </w:rPr>
        <w:t>. The Administrative Agent may execute any of its duties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8.06. </w:t>
      </w:r>
      <w:r>
        <w:rPr>
          <w:rFonts w:ascii="Times New Roman" w:hAnsi="Times New Roman"/>
          <w:color w:val="000000"/>
          <w:sz w:val="24"/>
          <w:u w:val="single"/>
        </w:rPr>
        <w:t>Action or Inaction by Administrative Agent</w:t>
      </w:r>
      <w:r>
        <w:rPr>
          <w:rFonts w:ascii="Times New Roman" w:hAnsi="Times New Roman"/>
          <w:color w:val="000000"/>
          <w:sz w:val="24"/>
        </w:rPr>
        <w:t xml:space="preserve">. The Administrative Agent shall in all cases be fully justified in failing or refusing to take action under any Transaction Document unless it shall first receive such advice or concurrence of the Group Agents or the Majority Group Agents, as the case may be, and assurance of its indemnification by the Committed Purchasers, as it deems appropriate. The Administrative Agent shall in all cases be fully protected in acting, or in refraining from acting, under this Agreement or any other Transaction Document in accordance with a request or at the direction of the Group Agents or the Majority Group Agents, as the case may be, and such request or direction and any action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taken or failure to act pursuant thereto shall be binding upon all Purchaser Parties. The Purchaser Parties and the Administrative Agent agree that unless any action to be taken by the Administrative Agent under a Transaction Document (i) specifically requires the advice or concurrence of all Group Agents or (ii) may be taken by the Administrative Agent alone or without any advice or concurrence of any Group Agent, then the Administrative Agent may take action based upon the advice or concurrence of the Majority Group Agents.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8.07. </w:t>
      </w:r>
      <w:r>
        <w:rPr>
          <w:rFonts w:ascii="Times New Roman" w:hAnsi="Times New Roman"/>
          <w:color w:val="000000"/>
          <w:sz w:val="24"/>
          <w:u w:val="single"/>
        </w:rPr>
        <w:t>Notice of Events of Termination; Action by Administrative Agent</w:t>
      </w:r>
      <w:r>
        <w:rPr>
          <w:rFonts w:ascii="Times New Roman" w:hAnsi="Times New Roman"/>
          <w:color w:val="000000"/>
          <w:sz w:val="24"/>
        </w:rPr>
        <w:t>. The Administrative Agent shall not be deemed to have knowledge or notice of the occurrence of any Unmatured Event of Termination or Event of Termination unless the Administrative Agent has received notice from any Purchaser Party or the Seller stating that an Unmatured Event of Termination or Event of Termination has occurred hereunder and describing such Unmatured Event of Termination or Event of Termination. If the Administrative Agent receives such a notice, it shall promptly (without undue delay) give notice thereof to each Group Agent, whereupon each Group Agent shall promptly give notice thereof to its respective Conduit Purchaser(s) and Related Committed Purchaser(s). The Administrative Agent may (but shall not be obligated to) (without undue delay) take such action, or refrain from taking such action, concerning an Unmatured Event of Termination or Event of Termination or any other matter hereunder as the Administrative Agent deems advisable and in the best interests of the Secured Parties.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8.08. </w:t>
      </w:r>
      <w:r>
        <w:rPr>
          <w:rFonts w:ascii="Times New Roman" w:hAnsi="Times New Roman"/>
          <w:color w:val="000000"/>
          <w:sz w:val="24"/>
          <w:u w:val="single"/>
        </w:rPr>
        <w:t>Non-Reliance on Administrative Agent and Other Parties</w:t>
      </w:r>
      <w:r>
        <w:rPr>
          <w:rFonts w:ascii="Times New Roman" w:hAnsi="Times New Roman"/>
          <w:color w:val="000000"/>
          <w:sz w:val="24"/>
        </w:rPr>
        <w:t>. Each Purchaser Party expressly acknowledges that neither the Administrative Agent nor any of its directors, officers, agents or employees has made any representations or warranties to it and that no act by the Administrative Agent hereafter taken, including any review of the affairs of the Seller or any Affiliate thereof, shall be deemed to constitute any representation or warranty by the Administrative Agent. Each Purchaser Party represents and warrants to the Administrative Agent that, independently and without reliance upon the Administrative Agent or any other Purchaser Party and based on such documents and information as it has deemed appropriate, it has made and will continue to make its own appraisal of and investigation into the business, operations, property, prospects, financial and other conditions and creditworthiness of the Seller, each Originator, each Performance Guarantor or the Servicer and the Pool Receivables and its own decision to enter into this Agreement and to take, or omit, action under any Transaction Document. Except for items expressly required to be delivered under any Transaction Document by the Administrative Agent to any Purchaser Party, the Administrative Agent shall not have any duty or responsibility to provide any Purchaser Party with any information concerning the Seller, any Originator, any Performance Guarantor or the Servicer that comes into the possession of the Administrative Agent or any of its directors, officers, agents, employees, attorneys-in-fact or Affiliates.</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Section 8.09. </w:t>
      </w:r>
      <w:r>
        <w:rPr>
          <w:rFonts w:ascii="Times New Roman" w:hAnsi="Times New Roman"/>
          <w:color w:val="000000"/>
          <w:sz w:val="24"/>
          <w:u w:val="single"/>
        </w:rPr>
        <w:t>Successor Administrative Agent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 The Administrative Agent may, upon at least thirty (30) days’ notice to the Seller, the Servicer and each Group Agent, resign as Administrative Agent. Except as provided below, such resignation shall not become effective until a successor Administrative Agent is appointed by the Majority Group Agents as a successor Administrative Agent and has accepted such appointment. If no successor Administrative Agent shall have been so appointed by the Majority Group Agents, within sixty (60) days after the departing Administrative Agent’s giving of notice of resignation, the departing Administrative Agent may, on behalf of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Secured Parties, appoint a successor Administrative Agent as successor Administrative Agent or petition a court of competent jurisdiction to appoint a successor Administrative Agent.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Upon such acceptance of its appointment as Administrative Agent hereunder by a successor Administrative Agent, such successor Administrative Agent shall succeed to and become vested with all the rights and duties of the resigning Administrative Agent, and the resigning Administrative Agent shall be discharged from its duties and obligations under the Transaction Documents. After any resigning Administrative Agent’s resignation hereunder, the provisions of this </w:t>
      </w:r>
      <w:r>
        <w:rPr>
          <w:rFonts w:ascii="Times New Roman" w:hAnsi="Times New Roman"/>
          <w:color w:val="000000"/>
          <w:sz w:val="24"/>
          <w:u w:val="single"/>
        </w:rPr>
        <w:t>Article VIII</w:t>
      </w:r>
      <w:r>
        <w:rPr>
          <w:rFonts w:ascii="Times New Roman" w:hAnsi="Times New Roman"/>
          <w:color w:val="000000"/>
          <w:sz w:val="24"/>
        </w:rPr>
        <w:t xml:space="preserve"> and </w:t>
      </w:r>
      <w:r>
        <w:rPr>
          <w:rFonts w:ascii="Times New Roman" w:hAnsi="Times New Roman"/>
          <w:color w:val="000000"/>
          <w:sz w:val="24"/>
          <w:u w:val="single"/>
        </w:rPr>
        <w:t>Schedule 5 (</w:t>
      </w:r>
      <w:r>
        <w:rPr>
          <w:rFonts w:ascii="Times New Roman" w:hAnsi="Times New Roman"/>
          <w:i/>
          <w:color w:val="000000"/>
          <w:sz w:val="24"/>
          <w:u w:val="single"/>
        </w:rPr>
        <w:t>Indemnities</w:t>
      </w:r>
      <w:r>
        <w:rPr>
          <w:rFonts w:ascii="Times New Roman" w:hAnsi="Times New Roman"/>
          <w:color w:val="000000"/>
          <w:sz w:val="24"/>
          <w:u w:val="single"/>
        </w:rPr>
        <w:t>)</w:t>
      </w:r>
      <w:r>
        <w:rPr>
          <w:rFonts w:ascii="Times New Roman" w:hAnsi="Times New Roman"/>
          <w:color w:val="000000"/>
          <w:sz w:val="24"/>
        </w:rPr>
        <w:t xml:space="preserve"> of the Master Framework Agreement shall inure to its benefit as to any actions taken or omitted to be taken by it while it was the Administrative Agent.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8.10. </w:t>
      </w:r>
      <w:r>
        <w:rPr>
          <w:rFonts w:ascii="Times New Roman" w:hAnsi="Times New Roman"/>
          <w:color w:val="000000"/>
          <w:sz w:val="24"/>
          <w:u w:val="single"/>
        </w:rPr>
        <w:t>Structuring Agent</w:t>
      </w:r>
      <w:r>
        <w:rPr>
          <w:rFonts w:ascii="Times New Roman" w:hAnsi="Times New Roman"/>
          <w:color w:val="000000"/>
          <w:sz w:val="24"/>
        </w:rPr>
        <w:t xml:space="preserve">. Each of the parties hereto hereby acknowledges and agrees that the Structuring Agent shall not have any right, power, obligation, liability, responsibility or duty under this Agreement, other than the Structuring Agent’s right to receive fees pursuant to </w:t>
      </w:r>
      <w:r>
        <w:rPr>
          <w:rFonts w:ascii="Times New Roman" w:hAnsi="Times New Roman"/>
          <w:color w:val="000000"/>
          <w:sz w:val="24"/>
          <w:u w:val="single"/>
        </w:rPr>
        <w:t>Section 2.03</w:t>
      </w:r>
      <w:r>
        <w:rPr>
          <w:rFonts w:ascii="Times New Roman" w:hAnsi="Times New Roman"/>
          <w:color w:val="000000"/>
          <w:sz w:val="24"/>
        </w:rPr>
        <w:t>. Each Purchaser Party acknowledges that it has not relied, and will not rely, on the Structuring Agent in deciding to enter into this Agreement and to take, or omit to take, any action under any Transaction Document.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8.11. </w:t>
      </w:r>
      <w:r>
        <w:rPr>
          <w:rFonts w:ascii="Times New Roman" w:hAnsi="Times New Roman"/>
          <w:color w:val="000000"/>
          <w:sz w:val="24"/>
          <w:u w:val="single"/>
        </w:rPr>
        <w:t>Benchmark Replacement Notification.</w:t>
      </w:r>
      <w:r>
        <w:rPr>
          <w:rFonts w:ascii="Times New Roman" w:hAnsi="Times New Roman"/>
          <w:color w:val="000000"/>
          <w:sz w:val="24"/>
        </w:rPr>
        <w:t xml:space="preserve"> </w:t>
      </w:r>
      <w:r>
        <w:rPr>
          <w:rFonts w:ascii="Times New Roman" w:hAnsi="Times New Roman"/>
          <w:color w:val="000000"/>
          <w:sz w:val="24"/>
          <w:u w:val="single"/>
        </w:rPr>
        <w:t>Section 4.05</w:t>
      </w:r>
      <w:r>
        <w:rPr>
          <w:rFonts w:ascii="Times New Roman" w:hAnsi="Times New Roman"/>
          <w:color w:val="000000"/>
          <w:sz w:val="24"/>
        </w:rPr>
        <w:t xml:space="preserve"> provides a mechanism for determining an alternative rate of interest in the event that the Relevant Rate for the applicable Agreed Currency is no longer available or in certain other circumstances. The Administrative Agent does not warrant or accept any responsibility for and shall not have any liability with respect to, the administration, submission or any other matter related to the Relevant Rate or with respect to any alternative or successor rate thereto, or replacement rate therefor.</w:t>
      </w:r>
    </w:p>
    <w:p>
      <w:pPr>
        <w:pStyle w:val="TextBody"/>
        <w:bidi w:val="0"/>
        <w:spacing w:before="240" w:after="283"/>
        <w:jc w:val="left"/>
        <w:rPr>
          <w:rFonts w:ascii="Times New Roman" w:hAnsi="Times New Roman"/>
          <w:sz w:val="24"/>
        </w:rPr>
      </w:pPr>
      <w:r>
        <w:rPr>
          <w:rFonts w:ascii="Times New Roman" w:hAnsi="Times New Roman"/>
          <w:color w:val="000000"/>
          <w:sz w:val="24"/>
        </w:rPr>
        <w:t>Section 8.12.</w:t>
      </w:r>
      <w:r>
        <w:rPr>
          <w:rFonts w:ascii="Times New Roman" w:hAnsi="Times New Roman"/>
          <w:color w:val="000000"/>
          <w:sz w:val="24"/>
          <w:u w:val="single"/>
        </w:rPr>
        <w:t xml:space="preserve"> UK Security Trustee Provisions.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Notwithstanding any other provision of this Agreement, each Purchaser Party (other than the Administrative Agent) irrevocably appoints the Administrative Agent to act as its trustee under and in connection with (i) the security created pursuant to the UK Security Agreement and (ii) the Collection Account Declarations of Trust on the terms and conditions set out in the Collection Account Declarations of Trust to hold the assets subject to the security thereby created as trustee for the Purchaser Parties on the trusts and other terms contained in the Collection Account Declarations of Trust. Each of the Purchaser Parties authorizes the Administrative Agent to exercise the rights, remedies, power and discretions, specifically given to the Administrative Agent under or in respect of the UK Security Agreement and/or the Collection Account Declarations of Trust, together with any rights, remedies, power and discretions, incidental thereto. In addition, when acting in the capacity of trustee for the Purchaser Parties, the Administrative Agent shall have all the rights, remedies and benefits of and in favour of the Administrative Agent contained in this </w:t>
      </w:r>
      <w:r>
        <w:rPr>
          <w:rFonts w:ascii="Times New Roman" w:hAnsi="Times New Roman"/>
          <w:color w:val="000000"/>
          <w:sz w:val="24"/>
          <w:u w:val="single"/>
        </w:rPr>
        <w:t>Article VIII</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Any reference in this Agreement to any security interest stated to be granted by the Seller in favour of the Administrative Agent shall, where applicable, be construed so as to include (without limitation) a reference to any security interest granted by the Seller in favour of the Administrative Agent in its capacity as security trustee of the Purchaser Parties.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(c) Nothing in this </w:t>
      </w:r>
      <w:r>
        <w:rPr>
          <w:rFonts w:ascii="Times New Roman" w:hAnsi="Times New Roman"/>
          <w:color w:val="000000"/>
          <w:sz w:val="24"/>
          <w:u w:val="single"/>
        </w:rPr>
        <w:t>Article VIII</w:t>
      </w:r>
      <w:r>
        <w:rPr>
          <w:rFonts w:ascii="Times New Roman" w:hAnsi="Times New Roman"/>
          <w:color w:val="000000"/>
          <w:sz w:val="24"/>
        </w:rPr>
        <w:t xml:space="preserve"> shall require the Administrative Agent to act as a trustee at common law or to hold any property on trust in any jurisdiction outside the United Kingdom that may not operate under principles of trust or where such trust would not be recognized or its effects would not be enforceable.</w:t>
      </w:r>
    </w:p>
    <w:p>
      <w:pPr>
        <w:pStyle w:val="TextBody"/>
        <w:bidi w:val="0"/>
        <w:spacing w:before="240" w:after="283"/>
        <w:jc w:val="left"/>
        <w:rPr>
          <w:rFonts w:ascii="Times New Roman" w:hAnsi="Times New Roman"/>
          <w:sz w:val="24"/>
        </w:rPr>
      </w:pPr>
      <w:r>
        <w:rPr>
          <w:rFonts w:ascii="Times New Roman" w:hAnsi="Times New Roman"/>
          <w:color w:val="000000"/>
          <w:sz w:val="24"/>
        </w:rPr>
        <w:t>Section 8.13.</w:t>
      </w:r>
      <w:r>
        <w:rPr>
          <w:rFonts w:ascii="Times New Roman" w:hAnsi="Times New Roman"/>
          <w:color w:val="000000"/>
          <w:sz w:val="24"/>
          <w:u w:val="single"/>
        </w:rPr>
        <w:t>Administrative Agent Holding German Collateral.</w:t>
      </w:r>
    </w:p>
    <w:p>
      <w:pPr>
        <w:pStyle w:val="TextBody"/>
        <w:bidi w:val="0"/>
        <w:spacing w:before="240" w:after="283"/>
        <w:jc w:val="both"/>
        <w:rPr>
          <w:rFonts w:ascii="Times New Roman" w:hAnsi="Times New Roman"/>
          <w:sz w:val="24"/>
        </w:rPr>
      </w:pPr>
      <w:r>
        <w:rPr>
          <w:rFonts w:ascii="Times New Roman" w:hAnsi="Times New Roman"/>
          <w:color w:val="000000"/>
          <w:sz w:val="24"/>
        </w:rPr>
        <w:t>(a) The Administrative Agent, with respect to the part of the collateral secured pursuant to collateral created under German law (“</w:t>
      </w:r>
      <w:r>
        <w:rPr>
          <w:rFonts w:ascii="Times New Roman" w:hAnsi="Times New Roman"/>
          <w:color w:val="000000"/>
          <w:sz w:val="24"/>
          <w:u w:val="single"/>
        </w:rPr>
        <w:t>German Collateral</w:t>
      </w:r>
      <w:r>
        <w:rPr>
          <w:rFonts w:ascii="Times New Roman" w:hAnsi="Times New Roman"/>
          <w:color w:val="000000"/>
          <w:sz w:val="24"/>
        </w:rPr>
        <w:t>”), shall hold, administer, and realize any such German Collateral that is pledged (</w:t>
      </w:r>
      <w:r>
        <w:rPr>
          <w:rFonts w:ascii="Times New Roman" w:hAnsi="Times New Roman"/>
          <w:i/>
          <w:color w:val="000000"/>
          <w:sz w:val="24"/>
        </w:rPr>
        <w:t>verpfändet</w:t>
      </w:r>
      <w:r>
        <w:rPr>
          <w:rFonts w:ascii="Times New Roman" w:hAnsi="Times New Roman"/>
          <w:color w:val="000000"/>
          <w:sz w:val="24"/>
        </w:rPr>
        <w:t>) or otherwise transferred to the Administrative Agent and is creating or evidencing an accessory security right (</w:t>
      </w:r>
      <w:r>
        <w:rPr>
          <w:rFonts w:ascii="Times New Roman" w:hAnsi="Times New Roman"/>
          <w:i/>
          <w:color w:val="000000"/>
          <w:sz w:val="24"/>
        </w:rPr>
        <w:t>akzessorische Sicherheit</w:t>
      </w:r>
      <w:r>
        <w:rPr>
          <w:rFonts w:ascii="Times New Roman" w:hAnsi="Times New Roman"/>
          <w:color w:val="000000"/>
          <w:sz w:val="24"/>
        </w:rPr>
        <w:t>) as agent.</w:t>
      </w:r>
    </w:p>
    <w:p>
      <w:pPr>
        <w:pStyle w:val="TextBody"/>
        <w:bidi w:val="0"/>
        <w:spacing w:before="240" w:after="283"/>
        <w:jc w:val="both"/>
        <w:rPr>
          <w:rFonts w:ascii="Times New Roman" w:hAnsi="Times New Roman"/>
          <w:sz w:val="24"/>
        </w:rPr>
      </w:pPr>
      <w:r>
        <w:rPr>
          <w:rFonts w:ascii="Times New Roman" w:hAnsi="Times New Roman"/>
          <w:color w:val="000000"/>
          <w:sz w:val="24"/>
        </w:rPr>
        <w:t>(b) With respect to the German Collateral, each Secured Party hereby authorizes and grants a power of attorney, and each future Secured Party by becoming a party to this Agreement in accordance with its terms authorizes, and grants a power of attorney (</w:t>
      </w:r>
      <w:r>
        <w:rPr>
          <w:rFonts w:ascii="Times New Roman" w:hAnsi="Times New Roman"/>
          <w:i/>
          <w:color w:val="000000"/>
          <w:sz w:val="24"/>
        </w:rPr>
        <w:t>Vollmacht</w:t>
      </w:r>
      <w:r>
        <w:rPr>
          <w:rFonts w:ascii="Times New Roman" w:hAnsi="Times New Roman"/>
          <w:color w:val="000000"/>
          <w:sz w:val="24"/>
        </w:rPr>
        <w:t>) to the Administrative Agent (whether or not by or through employees or agents) to realize such collateral in accordance with the German Collateral agreement, make, receive all declarations and statements and undertake all other necessary actions and measures which are necessary or desirable in connection with such German Collateral agreement, take such action on its behalf as may from time to time be authorized under or in accordance with the German Collateral agreement and exercise such rights, remedies, powers and discretions as are reasonably incidental thereto.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Each of the Secured Parties agrees that, if the courts of Germany do not recognize or give effect to the trust expressed to be created by this Agreement, the relationship of the Secured Parties to the Administrative Agent shall be construed as one of principal and agent but, to the extent permissible under the laws of Germany, all the other provisions of this Agreement shall have full force and effect between the parties hereto.</w:t>
      </w:r>
    </w:p>
    <w:p>
      <w:pPr>
        <w:pStyle w:val="TextBody"/>
        <w:bidi w:val="0"/>
        <w:spacing w:before="240" w:after="283"/>
        <w:jc w:val="both"/>
        <w:rPr>
          <w:rFonts w:ascii="Times New Roman" w:hAnsi="Times New Roman"/>
          <w:sz w:val="24"/>
        </w:rPr>
      </w:pPr>
      <w:r>
        <w:rPr>
          <w:rFonts w:ascii="Times New Roman" w:hAnsi="Times New Roman"/>
          <w:color w:val="000000"/>
          <w:sz w:val="24"/>
        </w:rPr>
        <w:t>(d) For the purpose of performing its rights and obligations as Administrative Agent and to make use of any authorization granted under the German Collection Account Declaration of Trust and/or the German Collection Account Pledge Agreement, each Secured Party hereby authorizes, and each future Secured Party by becoming a party to this Agreement in accordance with its terms authorizes, the Administrative Agent to act as its agent (</w:t>
      </w:r>
      <w:r>
        <w:rPr>
          <w:rFonts w:ascii="Times New Roman" w:hAnsi="Times New Roman"/>
          <w:i/>
          <w:color w:val="000000"/>
          <w:sz w:val="24"/>
        </w:rPr>
        <w:t>Stellvertreter</w:t>
      </w:r>
      <w:r>
        <w:rPr>
          <w:rFonts w:ascii="Times New Roman" w:hAnsi="Times New Roman"/>
          <w:color w:val="000000"/>
          <w:sz w:val="24"/>
        </w:rPr>
        <w:t>), and, to the extent possible, releases the Administrative Agent from any restrictions on representing several persons and self-dealing under any applicable law, and in particular from the restrictions of Section 181 of the German Civil Code (</w:t>
      </w:r>
      <w:r>
        <w:rPr>
          <w:rFonts w:ascii="Times New Roman" w:hAnsi="Times New Roman"/>
          <w:i/>
          <w:color w:val="000000"/>
          <w:sz w:val="24"/>
        </w:rPr>
        <w:t>Bürgerliches Gesetzbuch</w:t>
      </w:r>
      <w:r>
        <w:rPr>
          <w:rFonts w:ascii="Times New Roman" w:hAnsi="Times New Roman"/>
          <w:color w:val="000000"/>
          <w:sz w:val="24"/>
        </w:rPr>
        <w:t>). The Administrative Agent has the power to grant sub-power of attorney, including the release from the restrictions of section 181 of the German Civil Code (</w:t>
      </w:r>
      <w:r>
        <w:rPr>
          <w:rFonts w:ascii="Times New Roman" w:hAnsi="Times New Roman"/>
          <w:i/>
          <w:color w:val="000000"/>
          <w:sz w:val="24"/>
        </w:rPr>
        <w:t>Bürgerliches Gesetzbuch</w:t>
      </w:r>
      <w:r>
        <w:rPr>
          <w:rFonts w:ascii="Times New Roman" w:hAnsi="Times New Roman"/>
          <w:color w:val="000000"/>
          <w:sz w:val="24"/>
        </w:rPr>
        <w:t>).</w:t>
      </w:r>
    </w:p>
    <w:p>
      <w:pPr>
        <w:pStyle w:val="TextBody"/>
        <w:bidi w:val="0"/>
        <w:spacing w:before="240" w:after="283"/>
        <w:jc w:val="left"/>
        <w:rPr>
          <w:rFonts w:ascii="Times New Roman" w:hAnsi="Times New Roman"/>
          <w:sz w:val="24"/>
        </w:rPr>
      </w:pPr>
      <w:r>
        <w:rPr>
          <w:rFonts w:ascii="Times New Roman" w:hAnsi="Times New Roman"/>
          <w:color w:val="000000"/>
          <w:sz w:val="24"/>
        </w:rPr>
        <w:t>Section 8.14.</w:t>
      </w:r>
      <w:r>
        <w:rPr>
          <w:rFonts w:ascii="Times New Roman" w:hAnsi="Times New Roman"/>
          <w:color w:val="000000"/>
          <w:sz w:val="24"/>
          <w:u w:val="single"/>
        </w:rPr>
        <w:t xml:space="preserve"> Administrative Agent holding Italian Collateral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Each Purchaser Party (other than the Administrative Agent), in relation to the Italian Collection Account Pledge Agreement which are expressed to be governed by Italian law, hereby: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 appoints, with the express consent pursuant to articles 1394 and 1395 of the Italian Civil Code, the Administrative Agent to be its </w:t>
      </w:r>
      <w:r>
        <w:rPr>
          <w:rFonts w:ascii="Times New Roman" w:hAnsi="Times New Roman"/>
          <w:i/>
          <w:color w:val="000000"/>
          <w:sz w:val="24"/>
        </w:rPr>
        <w:t>mandatario con rappresentanza</w:t>
      </w:r>
      <w:r>
        <w:rPr>
          <w:rFonts w:ascii="Times New Roman" w:hAnsi="Times New Roman"/>
          <w:color w:val="000000"/>
          <w:sz w:val="24"/>
        </w:rPr>
        <w:t xml:space="preserve"> (pursuant to article 1723 of the Italian Civil Code) to do anything upon the terms and conditions set out in this Agreement under or in connection with the Italian law governed Security Documents (including but not limited to the Italian Collection Account Pledge Agreement) including the appointment of a custodian which shall hold assets on its behalf in custody under the Italian law governed Security Documents, and the Administrative Agent accepts such appointment;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confirms its approval of the Italian law governed Security Documents creating or expressed to create an Italian law governed security benefiting to it and any Italian law governed security created or to be created pursuant thereto and irrevocably authorises (with power of delegation), empowers and directs the Administrative Agent (by itself or by such person(s) as it may nominate) to execute in its name and on its behalf the Italian law governed Security Documents, to perform the duties and to exercise the rights, powers and discretions that are specifically delegated to it under or in connection with the Italian law governed Security Documents, together with any other rights, powers and discretions which are incidental thereto and to give a good discharge for any moneys payable under the Italian law governed Security Documents;</w:t>
      </w:r>
    </w:p>
    <w:p>
      <w:pPr>
        <w:pStyle w:val="TextBody"/>
        <w:bidi w:val="0"/>
        <w:spacing w:before="240" w:after="283"/>
        <w:jc w:val="both"/>
        <w:rPr>
          <w:rFonts w:ascii="Times New Roman" w:hAnsi="Times New Roman"/>
          <w:sz w:val="24"/>
        </w:rPr>
      </w:pPr>
      <w:r>
        <w:rPr>
          <w:rFonts w:ascii="Times New Roman" w:hAnsi="Times New Roman"/>
          <w:color w:val="000000"/>
          <w:sz w:val="24"/>
        </w:rPr>
        <w:t>(iii) undertakes to grant, upon request of the Administrative Agent, with any further power of attorney, to be executed in the form of a public deed (</w:t>
      </w:r>
      <w:r>
        <w:rPr>
          <w:rFonts w:ascii="Times New Roman" w:hAnsi="Times New Roman"/>
          <w:i/>
          <w:color w:val="000000"/>
          <w:sz w:val="24"/>
        </w:rPr>
        <w:t>atto pubblico</w:t>
      </w:r>
      <w:r>
        <w:rPr>
          <w:rFonts w:ascii="Times New Roman" w:hAnsi="Times New Roman"/>
          <w:color w:val="000000"/>
          <w:sz w:val="24"/>
        </w:rPr>
        <w:t>) or a certified deed (</w:t>
      </w:r>
      <w:r>
        <w:rPr>
          <w:rFonts w:ascii="Times New Roman" w:hAnsi="Times New Roman"/>
          <w:i/>
          <w:color w:val="000000"/>
          <w:sz w:val="24"/>
        </w:rPr>
        <w:t>scrittura</w:t>
      </w:r>
      <w:r>
        <w:rPr>
          <w:rFonts w:ascii="Times New Roman" w:hAnsi="Times New Roman"/>
          <w:color w:val="000000"/>
          <w:sz w:val="24"/>
        </w:rPr>
        <w:t xml:space="preserve"> </w:t>
      </w:r>
      <w:r>
        <w:rPr>
          <w:rFonts w:ascii="Times New Roman" w:hAnsi="Times New Roman"/>
          <w:i/>
          <w:color w:val="000000"/>
          <w:sz w:val="24"/>
        </w:rPr>
        <w:t>privata</w:t>
      </w:r>
      <w:r>
        <w:rPr>
          <w:rFonts w:ascii="Times New Roman" w:hAnsi="Times New Roman"/>
          <w:color w:val="000000"/>
          <w:sz w:val="24"/>
        </w:rPr>
        <w:t xml:space="preserve"> </w:t>
      </w:r>
      <w:r>
        <w:rPr>
          <w:rFonts w:ascii="Times New Roman" w:hAnsi="Times New Roman"/>
          <w:i/>
          <w:color w:val="000000"/>
          <w:sz w:val="24"/>
        </w:rPr>
        <w:t>autenticata</w:t>
      </w:r>
      <w:r>
        <w:rPr>
          <w:rFonts w:ascii="Times New Roman" w:hAnsi="Times New Roman"/>
          <w:color w:val="000000"/>
          <w:sz w:val="24"/>
        </w:rPr>
        <w:t>), for the performance of the rights, powers, authorities and discretions granted pursuant to the Transaction Documents;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 confirms that in the event that any Italian law governed security remains registered in the name of a Secured Party after it has ceased to be a Secured Party then the Administrative Agent shall remain empowered to execute a release of such security in its name and on its behalf, provided that prior written consent has been granted by both the new Secured Party and the entity in respect of which the security is registered;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 undertakes to ratify and approve any such action taken in the name and on behalf of the Secured Parties by the Administrative Agent acting in its appointed capacity.</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Each Purchaser Party (other than the Administrative Agent) appoints the Administrative Agent to act, to the extent applicable under the mandatory provisions of law and regulations, as </w:t>
      </w:r>
      <w:r>
        <w:rPr>
          <w:rFonts w:ascii="Times New Roman" w:hAnsi="Times New Roman"/>
          <w:i/>
          <w:color w:val="000000"/>
          <w:sz w:val="24"/>
        </w:rPr>
        <w:t>mandatario</w:t>
      </w:r>
      <w:r>
        <w:rPr>
          <w:rFonts w:ascii="Times New Roman" w:hAnsi="Times New Roman"/>
          <w:color w:val="000000"/>
          <w:sz w:val="24"/>
        </w:rPr>
        <w:t xml:space="preserve"> </w:t>
      </w:r>
      <w:r>
        <w:rPr>
          <w:rFonts w:ascii="Times New Roman" w:hAnsi="Times New Roman"/>
          <w:i/>
          <w:color w:val="000000"/>
          <w:sz w:val="24"/>
        </w:rPr>
        <w:t>con</w:t>
      </w:r>
      <w:r>
        <w:rPr>
          <w:rFonts w:ascii="Times New Roman" w:hAnsi="Times New Roman"/>
          <w:color w:val="000000"/>
          <w:sz w:val="24"/>
        </w:rPr>
        <w:t xml:space="preserve"> </w:t>
      </w:r>
      <w:r>
        <w:rPr>
          <w:rFonts w:ascii="Times New Roman" w:hAnsi="Times New Roman"/>
          <w:i/>
          <w:color w:val="000000"/>
          <w:sz w:val="24"/>
        </w:rPr>
        <w:t>rappresentanza</w:t>
      </w:r>
      <w:r>
        <w:rPr>
          <w:rFonts w:ascii="Times New Roman" w:hAnsi="Times New Roman"/>
          <w:color w:val="000000"/>
          <w:sz w:val="24"/>
        </w:rPr>
        <w:t xml:space="preserve"> (pursuant to article 1723 of the Italian Civil Code) for the Security Documents which are expressed to be governed by Italian law or as its trustee under the terms of this Agreement under or in connection with the Security Documents (other than those governed by Italian law) and authorises the Administrative Agent to exercise the rights, powers, authorities and discretions specifically given to the Administrative Agent under or in connection with the Transaction Documents together with any other incidental rights, powers, authorities and discretions, and the Administrative Agent accepts such appointment.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4"/>
        </w:rPr>
      </w:pPr>
      <w:r>
        <w:rPr>
          <w:rFonts w:ascii="Times New Roman" w:hAnsi="Times New Roman"/>
          <w:color w:val="000000"/>
          <w:sz w:val="24"/>
        </w:rPr>
        <w:t>Section 8.15.</w:t>
      </w:r>
      <w:r>
        <w:rPr>
          <w:rFonts w:ascii="Times New Roman" w:hAnsi="Times New Roman"/>
          <w:color w:val="000000"/>
          <w:sz w:val="24"/>
          <w:u w:val="single"/>
        </w:rPr>
        <w:t xml:space="preserve"> Abstract Acknowledgment of Parallel Obligations.</w:t>
      </w:r>
    </w:p>
    <w:p>
      <w:pPr>
        <w:pStyle w:val="TextBody"/>
        <w:bidi w:val="0"/>
        <w:spacing w:before="240" w:after="283"/>
        <w:jc w:val="both"/>
        <w:rPr>
          <w:rFonts w:ascii="Times New Roman" w:hAnsi="Times New Roman"/>
          <w:sz w:val="24"/>
        </w:rPr>
      </w:pPr>
      <w:r>
        <w:rPr>
          <w:rFonts w:ascii="Times New Roman" w:hAnsi="Times New Roman"/>
          <w:color w:val="000000"/>
          <w:sz w:val="24"/>
        </w:rPr>
        <w:t>(a) For the purpose of securing the Secured Parties rights and claims against the German Originator and the Seller under the Transaction Documents, the German Originator hereby undertakes by means of an abstract acknowledgement of debt (</w:t>
      </w:r>
      <w:r>
        <w:rPr>
          <w:rFonts w:ascii="Times New Roman" w:hAnsi="Times New Roman"/>
          <w:i/>
          <w:color w:val="000000"/>
          <w:sz w:val="24"/>
        </w:rPr>
        <w:t>abstraktes Schuldversprechen</w:t>
      </w:r>
      <w:r>
        <w:rPr>
          <w:rFonts w:ascii="Times New Roman" w:hAnsi="Times New Roman"/>
          <w:color w:val="000000"/>
          <w:sz w:val="24"/>
        </w:rPr>
        <w:t>) (the “</w:t>
      </w:r>
      <w:r>
        <w:rPr>
          <w:rFonts w:ascii="Times New Roman" w:hAnsi="Times New Roman"/>
          <w:color w:val="000000"/>
          <w:sz w:val="24"/>
          <w:u w:val="single"/>
        </w:rPr>
        <w:t>Parallel Obligations</w:t>
      </w:r>
      <w:r>
        <w:rPr>
          <w:rFonts w:ascii="Times New Roman" w:hAnsi="Times New Roman"/>
          <w:color w:val="000000"/>
          <w:sz w:val="24"/>
        </w:rPr>
        <w:t>”) to pay to the Administrative Agent promptly upon written demand of the Administrative Agent such amount that corresponds to any amount due and owed by the German Originator or Seller under the Transaction Documents (principal, interest, fees, cost and other charges) from time to time to the Secured Parties (the “</w:t>
      </w:r>
      <w:r>
        <w:rPr>
          <w:rFonts w:ascii="Times New Roman" w:hAnsi="Times New Roman"/>
          <w:color w:val="000000"/>
          <w:sz w:val="24"/>
          <w:u w:val="single"/>
        </w:rPr>
        <w:t>Primary</w:t>
      </w:r>
      <w:r>
        <w:rPr>
          <w:rFonts w:ascii="Times New Roman" w:hAnsi="Times New Roman"/>
          <w:color w:val="000000"/>
          <w:sz w:val="24"/>
        </w:rPr>
        <w:t xml:space="preserve"> </w:t>
      </w:r>
      <w:r>
        <w:rPr>
          <w:rFonts w:ascii="Times New Roman" w:hAnsi="Times New Roman"/>
          <w:color w:val="000000"/>
          <w:sz w:val="24"/>
          <w:u w:val="single"/>
        </w:rPr>
        <w:t>Obligations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The Administrative Agent is entitled to demand performance from the German Originator and the Seller under the Parallel Obligations in the same manner and under the same conditions as it may demand performance from the German Originator or Seller under the Transaction Documents.</w:t>
      </w:r>
    </w:p>
    <w:p>
      <w:pPr>
        <w:pStyle w:val="TextBody"/>
        <w:bidi w:val="0"/>
        <w:spacing w:before="240" w:after="283"/>
        <w:jc w:val="both"/>
        <w:rPr>
          <w:rFonts w:ascii="Times New Roman" w:hAnsi="Times New Roman"/>
          <w:sz w:val="24"/>
        </w:rPr>
      </w:pPr>
      <w:r>
        <w:rPr>
          <w:rFonts w:ascii="Times New Roman" w:hAnsi="Times New Roman"/>
          <w:color w:val="000000"/>
          <w:sz w:val="24"/>
        </w:rPr>
        <w:t>(c) The Parties acknowledge that the Parallel Obligations under (a) above are several, separate and independent (</w:t>
      </w:r>
      <w:r>
        <w:rPr>
          <w:rFonts w:ascii="Times New Roman" w:hAnsi="Times New Roman"/>
          <w:i/>
          <w:color w:val="000000"/>
          <w:sz w:val="24"/>
        </w:rPr>
        <w:t>selbstädinges Schuldanerkenntnis</w:t>
      </w:r>
      <w:r>
        <w:rPr>
          <w:rFonts w:ascii="Times New Roman" w:hAnsi="Times New Roman"/>
          <w:color w:val="000000"/>
          <w:sz w:val="24"/>
        </w:rPr>
        <w:t>) from, and shall not in any way limit or affect the Primary Obligations. Further, the Parties hereto agree that the Parallel Obligations shall not lead to a duplication or multiplication of obligations of the German Originator or Seller under the Primary Obligations. Accordingly, payment on account of a Primary Obligation and the corresponding Parallel Obligation may be claimed only once, any discharge of a Parallel Obligation to either the Administrative Agent or any Secured Party shall, to the same extent, discharge the corresponding Primary Obligation.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 The obligation of the German Originator or the Seller to make payments to the applicable recipients in accordance with the terms and conditions of the Primary Obligations shall remain unaffected by the Administrative Agent's claims under the Parallel Obligations.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 The Parallel Obligations shall serve as security for all existing, future and contingent payment claims that a Secured Party may have against the German Originator or the Seller under or in connection with the Primary Obligations, including any claims in the event of the invalidity of any of the Transaction Documents and in connection with payments made under the Transaction Documents. Claims of the Secured Parties shall for clarification purposes include all claims of future Secured Parties after signing of this Agreement. In case of agreed amendments and restatements of the Transaction Documents, the Parties to this Agreement agree that the Parallel Obligations shall also serve as security for all claims the Secured Parties may have under the Transaction Documents as amended and restated.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 The Administrative Agent is exclusively and irrevocably entitled to exercise all and any rights under the Parallel Obligations. In case of retirement or discharge of the Administrative Agent, the rights of the Administrative Agent shall be exercised by a successor security trustee appointed pursuant to this Agreement.</w:t>
      </w:r>
    </w:p>
    <w:p>
      <w:pPr>
        <w:pStyle w:val="TextBody"/>
        <w:bidi w:val="0"/>
        <w:spacing w:before="240" w:after="283"/>
        <w:jc w:val="both"/>
        <w:rPr>
          <w:rFonts w:ascii="Times New Roman" w:hAnsi="Times New Roman"/>
          <w:sz w:val="24"/>
        </w:rPr>
      </w:pPr>
      <w:r>
        <w:rPr>
          <w:rFonts w:ascii="Times New Roman" w:hAnsi="Times New Roman"/>
          <w:color w:val="000000"/>
          <w:sz w:val="24"/>
        </w:rPr>
        <w:t>(g) The parallel debt represents the own debt of each German Originator and neither constitutes any several and join liability (</w:t>
      </w:r>
      <w:r>
        <w:rPr>
          <w:rFonts w:ascii="Times New Roman" w:hAnsi="Times New Roman"/>
          <w:i/>
          <w:color w:val="000000"/>
          <w:sz w:val="24"/>
        </w:rPr>
        <w:t>gesamtschuldnerische Haftung</w:t>
      </w:r>
      <w:r>
        <w:rPr>
          <w:rFonts w:ascii="Times New Roman" w:hAnsi="Times New Roman"/>
          <w:color w:val="000000"/>
          <w:sz w:val="24"/>
        </w:rPr>
        <w:t>) of the German Originator nor is subject to any debt owed by a collective ownership (</w:t>
      </w:r>
      <w:r>
        <w:rPr>
          <w:rFonts w:ascii="Times New Roman" w:hAnsi="Times New Roman"/>
          <w:i/>
          <w:color w:val="000000"/>
          <w:sz w:val="24"/>
        </w:rPr>
        <w:t>Gesamthand</w:t>
      </w:r>
      <w:r>
        <w:rPr>
          <w:rFonts w:ascii="Times New Roman" w:hAnsi="Times New Roman"/>
          <w:color w:val="000000"/>
          <w:sz w:val="24"/>
        </w:rPr>
        <w:t>) formed by the German Originator.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IX</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THE GROUP AGENTS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9.01. </w:t>
      </w:r>
      <w:r>
        <w:rPr>
          <w:rFonts w:ascii="Times New Roman" w:hAnsi="Times New Roman"/>
          <w:color w:val="000000"/>
          <w:sz w:val="24"/>
          <w:u w:val="single"/>
        </w:rPr>
        <w:t>Authorization and Action</w:t>
      </w:r>
      <w:r>
        <w:rPr>
          <w:rFonts w:ascii="Times New Roman" w:hAnsi="Times New Roman"/>
          <w:color w:val="000000"/>
          <w:sz w:val="24"/>
        </w:rPr>
        <w:t>. Each Purchaser Party that belongs to a Group hereby appoints and authorizes the Group Agent for such Group to take such action as agent on its behalf and to exercise such powers under this Agreement as are delegated to such Group Agent by the terms hereof, together with such powers as are reasonably incidental thereto. No Group Agent shall have any duties other than those expressly set forth in the Transaction Documents, and no implied obligations or liabilities shall be read into any Transaction Document, or otherwise exist, against any Group Agent. No Group Agent assumes, nor shall it be deemed to have assumed, any obligation to, or relationship of trust or agency with the Seller or any Affiliate thereof, any Purchaser except for any obligations expressly set forth herein. Notwithstanding any provision of this Agreement or any other Transaction Document, in no event shall any Group Agent ever be required to take any action which exposes such Group Agent to personal liability or which is contrary to any provision of any Transaction Document or Applicable Law.</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9.02. </w:t>
      </w:r>
      <w:r>
        <w:rPr>
          <w:rFonts w:ascii="Times New Roman" w:hAnsi="Times New Roman"/>
          <w:color w:val="000000"/>
          <w:sz w:val="24"/>
          <w:u w:val="single"/>
        </w:rPr>
        <w:t>Group Agent’s Reliance, Etc</w:t>
      </w:r>
      <w:r>
        <w:rPr>
          <w:rFonts w:ascii="Times New Roman" w:hAnsi="Times New Roman"/>
          <w:color w:val="000000"/>
          <w:sz w:val="24"/>
        </w:rPr>
        <w:t>. No Group Agent nor any of its directors, officers, agents or employees shall be liable for any action taken or omitted to be taken by it or them as a Group Agent under or in connection with this Agreement or any other Transaction Documents in the absence of its or their own gross negligence or willful misconduct. Without limiting the generality of the foregoing, a Group Agent: (a) may consult with legal counsel (including counsel for the Administrative Agent, the Seller or the Servicer), independent certified public accountants and other experts selected by it and shall not be liable for any action taken or omitted to be taken in good faith by it in accordance with the advice of such counsel, accountants or experts; (b) makes no warranty or representation to any Purchaser Party (whether written or oral) and shall not be responsible to any Purchaser Party for any statements, warranties or representations (whether written or oral) made by any other party in or in connection with this Agreement or any other Transaction Document; (c) shall not have any duty to ascertain or to inquire as to the performance or observance of any of the terms, covenants or conditions of this Agreement or any other Transaction Document on the part of the Seller or any Affiliate thereof or any other Person or to inspect the property (including the books and records) of the Seller or any Affiliate thereof; (d) shall not be responsible to any Purchaser Party for the due execution, legality, validity, enforceability, genuineness, sufficiency or value of this Agreement, any other Transaction Documents or any other instrument or document furnished pursuant hereto; and (e) shall be entitled to rely, and shall be fully protected in so relying, upon any notice (including notice by telephone), consent, certificate or other instrument or writing (which may be by facsimile) believed by it to be genuine and signed or sent by the proper party or parties.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9.03. </w:t>
      </w:r>
      <w:r>
        <w:rPr>
          <w:rFonts w:ascii="Times New Roman" w:hAnsi="Times New Roman"/>
          <w:color w:val="000000"/>
          <w:sz w:val="24"/>
          <w:u w:val="single"/>
        </w:rPr>
        <w:t>Group Agent and Affiliates</w:t>
      </w:r>
      <w:r>
        <w:rPr>
          <w:rFonts w:ascii="Times New Roman" w:hAnsi="Times New Roman"/>
          <w:color w:val="000000"/>
          <w:sz w:val="24"/>
        </w:rPr>
        <w:t>. With respect to any Investment or interests therein owned by any Purchaser Party that is also a Group Agent, such Purchaser Party shall have the same rights and powers under this Agreement as any other Purchaser and may exercise the same as though it were not a Group Agent. A Group Agent and any of its Affiliates may generally engage in any kind of business with the Seller or any Affiliate thereof and any Person who may do business with or own securities of the Seller or any Affiliate thereof or any of their respective Affiliates, all as if such Group Agent were not a Group Agent hereunder and without any duty to account therefor to any other Secured Party.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9.04. </w:t>
      </w:r>
      <w:r>
        <w:rPr>
          <w:rFonts w:ascii="Times New Roman" w:hAnsi="Times New Roman"/>
          <w:color w:val="000000"/>
          <w:sz w:val="24"/>
          <w:u w:val="single"/>
        </w:rPr>
        <w:t>Indemnification of Group Agents</w:t>
      </w:r>
      <w:r>
        <w:rPr>
          <w:rFonts w:ascii="Times New Roman" w:hAnsi="Times New Roman"/>
          <w:color w:val="000000"/>
          <w:sz w:val="24"/>
        </w:rPr>
        <w:t xml:space="preserve">. Each Committed Purchaser in any Group agrees to indemnify the Group Agent for such Group (to the extent not reimbursed by the Seller or any Affiliate thereof), ratably according to the proportion of the Percentage of such Committed Purchaser to the aggregate Percentages of all Committed Purchasers in such Group, from and against any and all liabilities, obligations, losses, damages, penalties, actions, judgments, suits, costs, expenses or disbursements of any kind or nature whatsoever which may be imposed on, incurred by, or asserted against such Group Agent in any way relating to or arising out of this Agreement or any other Transaction Document or any action taken or omitted by such Group Agent under this Agreement or any other Transaction Document; </w:t>
      </w:r>
      <w:r>
        <w:rPr>
          <w:rFonts w:ascii="Times New Roman" w:hAnsi="Times New Roman"/>
          <w:color w:val="000000"/>
          <w:sz w:val="24"/>
          <w:u w:val="single"/>
        </w:rPr>
        <w:t>provided</w:t>
      </w:r>
      <w:r>
        <w:rPr>
          <w:rFonts w:ascii="Times New Roman" w:hAnsi="Times New Roman"/>
          <w:color w:val="000000"/>
          <w:sz w:val="24"/>
        </w:rPr>
        <w:t xml:space="preserve"> that no Committed Purchaser shall be liable for any portion of such liabilities, obligations, losses, damages, penalties, actions, judgments, suits, costs, expenses or disbursements resulting from such Group Agent’s gross negligence or willful misconduct.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9.05. </w:t>
      </w:r>
      <w:r>
        <w:rPr>
          <w:rFonts w:ascii="Times New Roman" w:hAnsi="Times New Roman"/>
          <w:color w:val="000000"/>
          <w:sz w:val="24"/>
          <w:u w:val="single"/>
        </w:rPr>
        <w:t>Delegation of Duties</w:t>
      </w:r>
      <w:r>
        <w:rPr>
          <w:rFonts w:ascii="Times New Roman" w:hAnsi="Times New Roman"/>
          <w:color w:val="000000"/>
          <w:sz w:val="24"/>
        </w:rPr>
        <w:t>. Each Group Agent may execute any of its duties through agents or attorneys-in-fact and shall be entitled to advice of counsel concerning all matters pertaining to such duties. No Group Agent shall be responsible for the negligence or misconduct of any agents or attorneys-in-fact selected by it with reasonable care.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9.06. </w:t>
      </w:r>
      <w:r>
        <w:rPr>
          <w:rFonts w:ascii="Times New Roman" w:hAnsi="Times New Roman"/>
          <w:color w:val="000000"/>
          <w:sz w:val="24"/>
          <w:u w:val="single"/>
        </w:rPr>
        <w:t>Notice of Events of Termination</w:t>
      </w:r>
      <w:r>
        <w:rPr>
          <w:rFonts w:ascii="Times New Roman" w:hAnsi="Times New Roman"/>
          <w:color w:val="000000"/>
          <w:sz w:val="24"/>
        </w:rPr>
        <w:t xml:space="preserve">. No Group Agent shall be deemed to have knowledge or notice of the occurrence of any Unmatured Event of Termination or Event of Termination unless such Group Agent has received notice from the Administrative Agent, any other Group Agent, any other Purchaser Party, the Servicer or the Seller stating that an Unmatured Event of Termination or Event of Termination has occurred hereunder and describing such Unmatured Event of Termination or Event of Termination. If a Group Agent receives such a notice, it shall promptly give notice thereof to the Purchaser Parties in its Group and to the Administrative Agent (but only if such notice received by such Group Agent was not sent by the Administrative Agent). A Group Agent may take such action concerning an Unmatured Event of Termination or Event of Termination as may be directed by Committed Purchasers in its Group representing a majority of the Commitments in such Group (subject to the other provisions of this </w:t>
      </w:r>
      <w:r>
        <w:rPr>
          <w:rFonts w:ascii="Times New Roman" w:hAnsi="Times New Roman"/>
          <w:color w:val="000000"/>
          <w:sz w:val="24"/>
          <w:u w:val="single"/>
        </w:rPr>
        <w:t>Article IX</w:t>
      </w:r>
      <w:r>
        <w:rPr>
          <w:rFonts w:ascii="Times New Roman" w:hAnsi="Times New Roman"/>
          <w:color w:val="000000"/>
          <w:sz w:val="24"/>
        </w:rPr>
        <w:t>), but until such Group Agent receives such directions, such Group Agent may (but shall not be obligated to) take such action, or refrain from taking such action, as such Group Agent deems advisable and in the best interests of the Conduit Purchasers and Committed Purchasers in its Group.</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9.07. </w:t>
      </w:r>
      <w:r>
        <w:rPr>
          <w:rFonts w:ascii="Times New Roman" w:hAnsi="Times New Roman"/>
          <w:color w:val="000000"/>
          <w:sz w:val="24"/>
          <w:u w:val="single"/>
        </w:rPr>
        <w:t>Non-Reliance on Group Agent and Other Parties</w:t>
      </w:r>
      <w:r>
        <w:rPr>
          <w:rFonts w:ascii="Times New Roman" w:hAnsi="Times New Roman"/>
          <w:color w:val="000000"/>
          <w:sz w:val="24"/>
        </w:rPr>
        <w:t>. Each Purchaser Party expressly acknowledges that neither the Group Agent for its Group nor any of such Group Agent’s directors, officers, agents or employees has made any representations or warranties to it and that no act by such Group Agent hereafter taken, including any review of the affairs of the Seller or any Affiliate thereof, shall be deemed to constitute any representation or warranty by such Group Agent. Each Purchaser Party represents and warrants to the Group Agent for its Group that, independently and without reliance upon such Group Agent, any other Group Agent, the Administrative Agent or any other Purchaser Party and based on such documents and information as it has deemed appropriate, it has made and will continue to make its own appraisal of and investigation into the business, operations, property, prospects, financial and other conditions and creditworthiness of the Seller or any Affiliate thereof and the Receivables and its own decision to enter into this Agreement and to take, or omit, action under any Transaction Document. Except for items expressly required to be delivered under any Transaction Document by a Group Agent to any Purchaser Party in its Group, no Group Agent shall have any duty or responsibility to provide any Purchaser Party in its Group with any information concerning the Seller or any Affiliate thereof that comes into the possession of such Group Agent or any of its directors, officers, agents, employees, attorneys-in-fact or Affiliates.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9.08. </w:t>
      </w:r>
      <w:r>
        <w:rPr>
          <w:rFonts w:ascii="Times New Roman" w:hAnsi="Times New Roman"/>
          <w:color w:val="000000"/>
          <w:sz w:val="24"/>
          <w:u w:val="single"/>
        </w:rPr>
        <w:t>Successor Group Agent</w:t>
      </w:r>
      <w:r>
        <w:rPr>
          <w:rFonts w:ascii="Times New Roman" w:hAnsi="Times New Roman"/>
          <w:color w:val="000000"/>
          <w:sz w:val="24"/>
        </w:rPr>
        <w:t xml:space="preserve">. Any Group Agent may, upon at least thirty (30) days’ notice to the Administrative Agent, the Seller, the Servicer and the Purchaser Parties in its Group, resign as Group Agent for its Group. Such resignation shall not become effective until a successor Group Agent is appointed by the Purchaser(s) in such Group. Upon such acceptance of its appointment as Group Agent for such Group hereunder by a successor Group Agent, such successor Group Agent shall succeed to and become vested with all the rights and duties of the resigning Group Agent, and the resigning Group Agent shall be discharged from its duties and obligations under the Transaction Documents. After any resigning Group Agent’s resignation hereunder, the provisions of this </w:t>
      </w:r>
      <w:r>
        <w:rPr>
          <w:rFonts w:ascii="Times New Roman" w:hAnsi="Times New Roman"/>
          <w:color w:val="000000"/>
          <w:sz w:val="24"/>
          <w:u w:val="single"/>
        </w:rPr>
        <w:t>Article IX</w:t>
      </w:r>
      <w:r>
        <w:rPr>
          <w:rFonts w:ascii="Times New Roman" w:hAnsi="Times New Roman"/>
          <w:color w:val="000000"/>
          <w:sz w:val="24"/>
        </w:rPr>
        <w:t xml:space="preserve"> and </w:t>
      </w:r>
      <w:r>
        <w:rPr>
          <w:rFonts w:ascii="Times New Roman" w:hAnsi="Times New Roman"/>
          <w:color w:val="000000"/>
          <w:sz w:val="24"/>
          <w:u w:val="single"/>
        </w:rPr>
        <w:t>Schedule 5 (</w:t>
      </w:r>
      <w:r>
        <w:rPr>
          <w:rFonts w:ascii="Times New Roman" w:hAnsi="Times New Roman"/>
          <w:i/>
          <w:color w:val="000000"/>
          <w:sz w:val="24"/>
          <w:u w:val="single"/>
        </w:rPr>
        <w:t>Indemnities</w:t>
      </w:r>
      <w:r>
        <w:rPr>
          <w:rFonts w:ascii="Times New Roman" w:hAnsi="Times New Roman"/>
          <w:color w:val="000000"/>
          <w:sz w:val="24"/>
          <w:u w:val="single"/>
        </w:rPr>
        <w:t>)</w:t>
      </w:r>
      <w:r>
        <w:rPr>
          <w:rFonts w:ascii="Times New Roman" w:hAnsi="Times New Roman"/>
          <w:color w:val="000000"/>
          <w:sz w:val="24"/>
        </w:rPr>
        <w:t xml:space="preserve"> of the Master Framework Agreement shall inure to its benefit as to any actions taken or omitted to be taken by it while it was a Group Agent.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9.09. </w:t>
      </w:r>
      <w:r>
        <w:rPr>
          <w:rFonts w:ascii="Times New Roman" w:hAnsi="Times New Roman"/>
          <w:color w:val="000000"/>
          <w:sz w:val="24"/>
          <w:u w:val="single"/>
        </w:rPr>
        <w:t>Reliance on Group Agent</w:t>
      </w:r>
      <w:r>
        <w:rPr>
          <w:rFonts w:ascii="Times New Roman" w:hAnsi="Times New Roman"/>
          <w:color w:val="000000"/>
          <w:sz w:val="24"/>
        </w:rPr>
        <w:t>. Unless otherwise advised in writing by a Group Agent or by any Purchaser Party in such Group Agent’s Group, each party to this Agreement may assume that (i) such Group Agent is acting for the benefit and on behalf of each of the Purchaser Parties in its Group, as well as for the benefit of each assignee or other transferee from any such Person and (ii) each action taken by such Group Agent has been duly authorized and approved by all necessary action on the part of the Purchaser Parties in its Group.</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X</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SELLER GUARANTEE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10.01. </w:t>
      </w:r>
      <w:r>
        <w:rPr>
          <w:rFonts w:ascii="Times New Roman" w:hAnsi="Times New Roman"/>
          <w:color w:val="000000"/>
          <w:sz w:val="24"/>
          <w:u w:val="single"/>
        </w:rPr>
        <w:t>Guarantee of Payment</w:t>
      </w:r>
      <w:r>
        <w:rPr>
          <w:rFonts w:ascii="Times New Roman" w:hAnsi="Times New Roman"/>
          <w:color w:val="000000"/>
          <w:sz w:val="24"/>
        </w:rPr>
        <w:t>. The Seller hereby absolutely, irrevocably and unconditionally guarantees to each Purchaser, the Administrative Agent and the other Secured Parties the prompt payment of the Sold Receivables by the related Obligors and all other payment obligations included in the Sold Assets (including, for the avoidance of doubt any accrued Yield and Fees) (collectively, the “</w:t>
      </w:r>
      <w:r>
        <w:rPr>
          <w:rFonts w:ascii="Times New Roman" w:hAnsi="Times New Roman"/>
          <w:color w:val="000000"/>
          <w:sz w:val="24"/>
          <w:u w:val="single"/>
        </w:rPr>
        <w:t>Guaranteed Obligations</w:t>
      </w:r>
      <w:r>
        <w:rPr>
          <w:rFonts w:ascii="Times New Roman" w:hAnsi="Times New Roman"/>
          <w:color w:val="000000"/>
          <w:sz w:val="24"/>
        </w:rPr>
        <w:t>”), in each case, in full when due, whether at stated maturity, as a mandatory prepayment, by acceleration or otherwise (such guarantee, the “</w:t>
      </w:r>
      <w:r>
        <w:rPr>
          <w:rFonts w:ascii="Times New Roman" w:hAnsi="Times New Roman"/>
          <w:color w:val="000000"/>
          <w:sz w:val="24"/>
          <w:u w:val="single"/>
        </w:rPr>
        <w:t>Seller Guarantee</w:t>
      </w:r>
      <w:r>
        <w:rPr>
          <w:rFonts w:ascii="Times New Roman" w:hAnsi="Times New Roman"/>
          <w:color w:val="000000"/>
          <w:sz w:val="24"/>
        </w:rPr>
        <w:t>”). The Seller Guarantee is a guarantee of payment and not of collection and is a continuing irrevocable guarantee and shall apply to all Guaranteed Obligations whenever arising and the Seller undertakes to each Purchaser, the Administrative Agent and the other Secured Parties that whenever the related Obligors do not pay any amount of the Guaranteed Obligations when due, it shall immediately on demand pay that amount as if it were the principal obligor. To the extent the obligations of the Seller hereunder in respect to the Seller Guarantee shall be adjudicated to be invalid, illegal or unenforceable, it will, as an independent and primary obligation, indemnify each Purchaser, the Administrative Agent and the other Secured Parties immediately on demand against any costs, loss or liability it incurs as a result of the related obligor not paying any amount which would, but for such unenforceability, invalidity or illegality, have been payable by it on the date when it would have been due. The amount payable by the Seller under this indemnity will not exceed the amount it would have had to pay under this Agreement if the amount claimed had been recoverable on the basis of a guarantee.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10.02. </w:t>
      </w:r>
      <w:r>
        <w:rPr>
          <w:rFonts w:ascii="Times New Roman" w:hAnsi="Times New Roman"/>
          <w:color w:val="000000"/>
          <w:sz w:val="24"/>
          <w:u w:val="single"/>
        </w:rPr>
        <w:t>Unconditional Guarantee</w:t>
      </w:r>
      <w:r>
        <w:rPr>
          <w:rFonts w:ascii="Times New Roman" w:hAnsi="Times New Roman"/>
          <w:color w:val="000000"/>
          <w:sz w:val="24"/>
        </w:rPr>
        <w:t xml:space="preserve">. The obligations of the Seller under the Seller Guarantee are absolute and unconditional, irrespective of the value, genuineness, validity, regularity or enforceability of any Guaranteed Obligations, any Contract, any Transaction Document or any other agreement or instrument referred to therein, to the fullest extent permitted by Applicable Law, irrespective of any other circumstance whatsoever which might otherwise constitute a legal or equitable discharge or defense of a surety or guarantor. The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Seller agrees that the Seller Guarantee may be enforced by the Administrative Agent or the Purchasers without the necessity at any time of resorting to or exhausting any other security or collateral and without the necessity at any time of having recourse to any of the other Transaction Documents or any collateral, including the Sold Assets, hereafter securing the Guaranteed Obligations, the Seller Obligations or otherwise, and the Seller hereby waives the right to require the Administrative Agent or the Purchasers to make demand on or proceed against any Obligor, any Originator, the Servicer or any Performance Guarantor or any other Person or to require the Administrative Agent or the Purchasers to pursue any other remedy or enforce any other right. The Seller further agrees that no Person or Governmental Authority shall have any right to request any return or reimbursement of funds from the Administrative Agent or the Purchasers in connection with monies received under or in respect of the Seller Guarantee. The Seller further agrees that nothing contained herein shall prevent the Administrative Agent or the Purchasers from suing on any of the other Transaction Documents or foreclosing its or their, as applicable, security interest in or lien on the Sold Assets or any other collateral securing the Guaranteed Obligations or the Seller Obligations or from exercising any other rights available to it or them, as applicable, under any Transaction Document, or any other instrument of security and the exercise of any of the aforesaid rights and the completion of any foreclosure proceedings shall not constitute a discharge of the Seller’s obligations under the Seller Guarantee; it being the purpose and intent of the Seller that its obligations under the Seller Guarantee shall be absolute, independent and unconditional under any and all circumstances. Neither the Seller Guarantee nor any remedy for the enforcement thereof shall be impaired, modified, changed or released in any manner whatsoever by an impairment, modification, change, release, increase or limitation of the liability of any Obligor, any Originator, the Servicer or any Performance Guarantor or by reason of the bankruptcy or insolvency of any Obligor, any Originator, the Servicer or any Performance Guarantor. The Seller hereby waives any and all notice of the creation, renewal, extension, accrual, or increase of any of the Guaranteed Obligations and notice of or proof of reliance by the Administrative Agent or any Purchaser on the Seller Guarantee or acceptance of the Seller Guarantee. All dealings between any Obligor, any Originator, the Servicer, any Performance Guarantor or the Seller, on the one hand, and the Administrative Agent and the Purchasers, on the other hand, shall be conclusively presumed to have been had or consummated in reliance upon the Seller Guarantee. The Seller hereby represents and warrants that it is, and immediately after giving effect to the Seller Guarantee and the obligation evidenced hereby, will be, solvent. Subject to paragraph 17 (</w:t>
      </w:r>
      <w:r>
        <w:rPr>
          <w:rFonts w:ascii="Times New Roman" w:hAnsi="Times New Roman"/>
          <w:i/>
          <w:color w:val="000000"/>
          <w:sz w:val="24"/>
        </w:rPr>
        <w:t>No proceedings and limited recourse</w:t>
      </w:r>
      <w:r>
        <w:rPr>
          <w:rFonts w:ascii="Times New Roman" w:hAnsi="Times New Roman"/>
          <w:color w:val="000000"/>
          <w:sz w:val="24"/>
        </w:rPr>
        <w:t>) of Schedule 2 (</w:t>
      </w:r>
      <w:r>
        <w:rPr>
          <w:rFonts w:ascii="Times New Roman" w:hAnsi="Times New Roman"/>
          <w:i/>
          <w:color w:val="000000"/>
          <w:sz w:val="24"/>
        </w:rPr>
        <w:t>Common Terms</w:t>
      </w:r>
      <w:r>
        <w:rPr>
          <w:rFonts w:ascii="Times New Roman" w:hAnsi="Times New Roman"/>
          <w:color w:val="000000"/>
          <w:sz w:val="24"/>
        </w:rPr>
        <w:t>) Part 1 (</w:t>
      </w:r>
      <w:r>
        <w:rPr>
          <w:rFonts w:ascii="Times New Roman" w:hAnsi="Times New Roman"/>
          <w:i/>
          <w:color w:val="000000"/>
          <w:sz w:val="24"/>
        </w:rPr>
        <w:t>General Legal Terms</w:t>
      </w:r>
      <w:r>
        <w:rPr>
          <w:rFonts w:ascii="Times New Roman" w:hAnsi="Times New Roman"/>
          <w:color w:val="000000"/>
          <w:sz w:val="24"/>
        </w:rPr>
        <w:t xml:space="preserve">) of the Master Framework Agreement, the Seller Guarantee and the obligations of the Seller under the Seller Guarantee shall be valid and enforceable and shall not be subject to any limitation, impairment or discharge for any reason (other than payment in full of all Guaranteed Obligations), including the occurrence of any of the following, whether or not the Administrative Agent or any Purchaser shall have had notice or knowledge of any of them: (A) any failure to assert or enforce or agreement not to assert or enforce, or the stay or enjoining, by order of court, by operation of law or otherwise, of the exercise or enforcement of, any claim or demand or any right, power or remedy with respect to the Sold Assets or the Guaranteed Obligations or any agreement relating thereto, or with respect to any guarantee of or other security for the payment of the Sold Assets or the Guaranteed Obligations, (B) any waiver, amendment or modification of, or any consent to departure from, any of the terms or provisions (including provisions relating to any Event of Termination) of any Transaction Document or any agreement or instrument executed pursuant thereto, or of any guarantee or other security for the Sold Assets or the Guaranteed Obligations, (C) to the fullest extent permitted by Applicable Law, any of the Guaranteed Obligations, or any agreement relating thereto, at any time being found to be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illegal, invalid or unenforceable in any respect, (D) the application of payments received from any source to the payment of Debt other than the Guaranteed Obligations, even though the Administrative Agent might have elected to apply such payment to any part or all of the Guaranteed Obligations, (E) any failure to perfect or continue perfection of a security interest in any of the Sold Assets or other Seller Collateral, (F) any defenses, set-offs or counterclaims which the Seller, any Originator, the Servicer, any Performance Guarantor or any Obligor may allege or assert against the Administrative Agent or any Purchaser in respect of the Sold Assets or the Guaranteed Obligations, including failure of consideration, breach of warranty, payment, statute of frauds, statute of limitations, accord and satisfaction and usury, and (G) any other act or thing or omission, or delay to do any other act or thing, which may or might in any manner or to any extent vary the risk of the Seller as an obligor in respect of the Sold Assets or the Guaranteed Obligations. The Seller Guarantee is a continuing guarantee and will extend to the ultimate balance of all the Guaranteed Obligations, regardless of any immediate payment or discharge in whole or in part.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10.03. </w:t>
      </w:r>
      <w:r>
        <w:rPr>
          <w:rFonts w:ascii="Times New Roman" w:hAnsi="Times New Roman"/>
          <w:color w:val="000000"/>
          <w:sz w:val="24"/>
          <w:u w:val="single"/>
        </w:rPr>
        <w:t>Modifications</w:t>
      </w:r>
      <w:r>
        <w:rPr>
          <w:rFonts w:ascii="Times New Roman" w:hAnsi="Times New Roman"/>
          <w:color w:val="000000"/>
          <w:sz w:val="24"/>
        </w:rPr>
        <w:t>. The Seller agrees that: (a) all or any part of any security interest, lien, collateral security or supporting obligation now or hereafter held for any Guaranteed Obligation may be exchanged, compromised or surrendered from time to time; (b) none of the Purchasers or the Administrative Agent shall have any obligation to protect, perfect, secure or insure any security interest or lien now or hereafter held, if any, for the Guaranteed Obligations; (c) the time or place of payment of any Guaranteed Obligation may be changed or extended, in whole or in part, to a time certain or otherwise, and may be renewed or accelerated, in whole or in part; (d) any Obligor, any Originator, the Seller, the Servicer or any Performance Guarantor and any other party (including any co-guarantor) liable for payment of any Guaranteed Obligation may be granted indulgences generally; (e) any of the provisions of Contracts or any other agreements or documents governing or giving rise to any Guaranteed Obligation may be modified, amended or waived; and (f) any deposit balance for the credit of any Obligor, any Originator, the Servicer, any Performance Guarantor or the Seller or any other party (including any co-guarantor) liable for the payment of any Guaranteed Obligation or liable upon any security therefor may be released, in whole or in part, at, before or after the stated, extended or accelerated maturity of the Guaranteed Obligations, all without notice to or further assent by the Seller, which shall remain bound thereon, notwithstanding any such exchange, compromise, surrender, extension, renewal, acceleration, modification, indulgence or release.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10.04. </w:t>
      </w:r>
      <w:r>
        <w:rPr>
          <w:rFonts w:ascii="Times New Roman" w:hAnsi="Times New Roman"/>
          <w:color w:val="000000"/>
          <w:sz w:val="24"/>
          <w:u w:val="single"/>
        </w:rPr>
        <w:t>Waiver of Rights</w:t>
      </w:r>
      <w:r>
        <w:rPr>
          <w:rFonts w:ascii="Times New Roman" w:hAnsi="Times New Roman"/>
          <w:color w:val="000000"/>
          <w:sz w:val="24"/>
        </w:rPr>
        <w:t xml:space="preserve">. The Seller expressly waives to the fullest extent permitted by Applicable Law: (a) notice of acceptance of the Seller Guarantee by the Purchasers and the Administrative Agent; (b) presentment and demand for payment or performance of any of the Guaranteed Obligations; (c) protest and notice of dishonor or of default (except as specifically required in this Agreement) with respect to the Guaranteed Obligations or with respect to any security therefor; (d) notice of the Purchasers or the Administrative Agent obtaining, amending, substituting for, releasing, waiving or modifying any security interest or lien, if any, hereafter securing the Guaranteed Obligations, or the Purchasers or the Administrative Agent subordinating, compromising, discharging or releasing such security interests or liens, if any; (e) all other notices, demands, presentments, protests or any agreement or instrument related to the Sold Assets or the Guaranteed Obligations to which the Seller might otherwise be entitled; (f) any right to require the Administrative Agent or any Purchaser as a condition of payment or performance by the Seller, to (A) proceed against any Obligor, any Originator, the Servicer, any Performance Guarantor or any other Person, (B) proceed against or exhaust any other security held from any Obligor, any Originator, the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Servicer, any Performance Guarantor or any other Person, (C) proceed against or have resort to any balance of any deposit account, securities account or credit on the books of the Administrative Agent, the Purchasers or any other Person, or (D) pursue any other remedy in the power of the Administrative Agent or the Purchasers whatsoever; (g) any defense arising by reason of the incapacity, lack of authority or any disability or other defense of any Obligor, any Originator, the Servicer, any Performance Guarantor or any other Person including any defense based on or arising out of the lack of validity or the unenforceability of the Sold Assets or the Guaranteed Obligations or any agreement or instrument relating thereto or by reason of the cessation of the liability of any Obligor, any Originator, the Servicer, any Performance Guarantor or any other Person from any cause other than payment in full of the Sold Assets and the Guaranteed Obligations; (h) any defense based upon any Applicable Law which provides that the obligation of a surety must be neither larger in amount nor in other respects more burdensome than that of the principal; (i) any defense based upon the Administrative Agent’s or any Purchaser’s errors or omissions in the administration of the Sold Assets or the Guaranteed Obligations; (j) (A) any principles or provisions of law, statutory or otherwise, which are or might be in conflict with the terms of this Agreement and any legal or equitable discharge of the Sold Assets or the Guaranteed Obligations, (B) the benefit of any statute of limitations affecting the Seller’s liability under the Seller Guarantee or the enforcement of the Seller Guarantee, (C) any rights to set-offs, recoupments and counterclaims, and (D) promptness, diligence and any requirement that the Administrative Agent and the Purchasers protect, secure, perfect or insure any other security interest or lien or any property subject thereto; and (k) to the fullest extent permitted by Applicable Law, any defenses or benefits that may be derived from or afforded by Applicable Law which limit the liability of or exonerate guarantors or sureties, or which may conflict with the terms of this Agreement and the Seller Guarantee.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10.05. </w:t>
      </w:r>
      <w:r>
        <w:rPr>
          <w:rFonts w:ascii="Times New Roman" w:hAnsi="Times New Roman"/>
          <w:color w:val="000000"/>
          <w:sz w:val="24"/>
          <w:u w:val="single"/>
        </w:rPr>
        <w:t>Reinstatement</w:t>
      </w:r>
      <w:r>
        <w:rPr>
          <w:rFonts w:ascii="Times New Roman" w:hAnsi="Times New Roman"/>
          <w:color w:val="000000"/>
          <w:sz w:val="24"/>
        </w:rPr>
        <w:t xml:space="preserve">. Notwithstanding anything contained in this Agreement or the other Transaction Documents, the obligations of the Seller under this </w:t>
      </w:r>
      <w:r>
        <w:rPr>
          <w:rFonts w:ascii="Times New Roman" w:hAnsi="Times New Roman"/>
          <w:color w:val="000000"/>
          <w:sz w:val="24"/>
          <w:u w:val="single"/>
        </w:rPr>
        <w:t>Article X</w:t>
      </w:r>
      <w:r>
        <w:rPr>
          <w:rFonts w:ascii="Times New Roman" w:hAnsi="Times New Roman"/>
          <w:color w:val="000000"/>
          <w:sz w:val="24"/>
        </w:rPr>
        <w:t xml:space="preserve"> shall be automatically reinstated if and to the extent that for any reason any payment by or on behalf of any Person in respect of the Guaranteed Obligations is rescinded or must be otherwise restored by any holder of any of the Guaranteed Obligations, whether as a result of any proceedings in bankruptcy, insolvency, liquidation, administration, reorganization or otherwise, and the Seller agrees that it will indemnify Administrative Agent and each Purchaser on demand for all reasonable costs and expenses (including reasonable fees of counsel) incurred by such Person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10.06. </w:t>
      </w:r>
      <w:r>
        <w:rPr>
          <w:rFonts w:ascii="Times New Roman" w:hAnsi="Times New Roman"/>
          <w:color w:val="000000"/>
          <w:sz w:val="24"/>
          <w:u w:val="single"/>
        </w:rPr>
        <w:t>Remedies</w:t>
      </w:r>
      <w:r>
        <w:rPr>
          <w:rFonts w:ascii="Times New Roman" w:hAnsi="Times New Roman"/>
          <w:color w:val="000000"/>
          <w:sz w:val="24"/>
        </w:rPr>
        <w:t xml:space="preserve">. The Seller agrees that, as between the Seller, on the one hand, and Administrative Agent and the Purchasers, on the other hand, the Guaranteed Obligations may be declared to be forthwith due and payable as provided in </w:t>
      </w:r>
      <w:r>
        <w:rPr>
          <w:rFonts w:ascii="Times New Roman" w:hAnsi="Times New Roman"/>
          <w:color w:val="000000"/>
          <w:sz w:val="24"/>
          <w:u w:val="single"/>
        </w:rPr>
        <w:t>Article VII</w:t>
      </w:r>
      <w:r>
        <w:rPr>
          <w:rFonts w:ascii="Times New Roman" w:hAnsi="Times New Roman"/>
          <w:color w:val="000000"/>
          <w:sz w:val="24"/>
        </w:rPr>
        <w:t xml:space="preserve"> (and shall be deemed to have become automatically due and payable in the circumstances provided in </w:t>
      </w:r>
      <w:r>
        <w:rPr>
          <w:rFonts w:ascii="Times New Roman" w:hAnsi="Times New Roman"/>
          <w:color w:val="000000"/>
          <w:sz w:val="24"/>
          <w:u w:val="single"/>
        </w:rPr>
        <w:t>Article VII</w:t>
      </w:r>
      <w:r>
        <w:rPr>
          <w:rFonts w:ascii="Times New Roman" w:hAnsi="Times New Roman"/>
          <w:color w:val="000000"/>
          <w:sz w:val="24"/>
        </w:rPr>
        <w:t>) notwithstanding any stay, injunction or other prohibition preventing such declaration (or preventing such Guaranteed Obligations from becoming automatically due and payable) as against any other Person and that, in the event of such declaration (or such Guaranteed Obligations being deemed to have become automatically due and payable), such Guaranteed Obligations (whether or not due and payable by any other Person) shall forthwith become due and payable by the Seller.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10.07. </w:t>
      </w:r>
      <w:r>
        <w:rPr>
          <w:rFonts w:ascii="Times New Roman" w:hAnsi="Times New Roman"/>
          <w:color w:val="000000"/>
          <w:sz w:val="24"/>
          <w:u w:val="single"/>
        </w:rPr>
        <w:t>Subrogation</w:t>
      </w:r>
      <w:r>
        <w:rPr>
          <w:rFonts w:ascii="Times New Roman" w:hAnsi="Times New Roman"/>
          <w:color w:val="000000"/>
          <w:sz w:val="24"/>
        </w:rPr>
        <w:t>. The Seller hereby waives all rights of subrogation (whether contractual or otherwise) to the claims of the Administrative Agent, the Purchasers and the other Secured Parties against any Obligor, any Originator, the Servicer, any Performance Guarantor or any other Person in respect of the Guaranteed Obligations until such time as all Guaranteed Obligations have been indefeasibly paid in full in cash and the Final Payout Date has occurred. The Seller further agrees that, to the extent such waiver of its rights of subrogation is found by a court of competent jurisdiction to be void or voidable for any reason, any rights of subrogation shall be junior and subordinate to any rights the Administrative Agent or any Purchaser may have against any Obligor, any Originator, the Servicer, any Performance Guarantor or any other Person in respect of the Guaranteed Obligations.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10.08. </w:t>
      </w:r>
      <w:r>
        <w:rPr>
          <w:rFonts w:ascii="Times New Roman" w:hAnsi="Times New Roman"/>
          <w:color w:val="000000"/>
          <w:sz w:val="24"/>
          <w:u w:val="single"/>
        </w:rPr>
        <w:t>Inducement</w:t>
      </w:r>
      <w:r>
        <w:rPr>
          <w:rFonts w:ascii="Times New Roman" w:hAnsi="Times New Roman"/>
          <w:color w:val="000000"/>
          <w:sz w:val="24"/>
        </w:rPr>
        <w:t>. The Purchasers have been induced to make the Investments under this Agreement in part based upon the Seller Guarantee that the Seller desires that the Seller Guarantee be honored and enforced as separate obligations of the Seller, should Administrative Agent and the Purchasers desire to do so.</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10.09. </w:t>
      </w:r>
      <w:r>
        <w:rPr>
          <w:rFonts w:ascii="Times New Roman" w:hAnsi="Times New Roman"/>
          <w:color w:val="000000"/>
          <w:sz w:val="24"/>
          <w:u w:val="single"/>
        </w:rPr>
        <w:t>Further Assurances</w:t>
      </w:r>
      <w:r>
        <w:rPr>
          <w:rFonts w:ascii="Times New Roman" w:hAnsi="Times New Roman"/>
          <w:color w:val="000000"/>
          <w:sz w:val="24"/>
        </w:rPr>
        <w:t xml:space="preserve">. Promptly upon request, the Seller shall deliver such instruments, assignments or other documents or agreements, and shall take such actions, as the Administrative Agent or any Purchaser deems appropriate to evidence or perfect its interest on any of the Seller Collateral, or otherwise to give effect to the intent of this </w:t>
      </w:r>
      <w:r>
        <w:rPr>
          <w:rFonts w:ascii="Times New Roman" w:hAnsi="Times New Roman"/>
          <w:color w:val="000000"/>
          <w:sz w:val="24"/>
          <w:u w:val="single"/>
        </w:rPr>
        <w:t>Article</w:t>
      </w:r>
      <w:r>
        <w:rPr>
          <w:rFonts w:ascii="Times New Roman" w:hAnsi="Times New Roman"/>
          <w:color w:val="000000"/>
          <w:sz w:val="24"/>
        </w:rPr>
        <w:t xml:space="preserve"> </w:t>
      </w:r>
      <w:r>
        <w:rPr>
          <w:rFonts w:ascii="Times New Roman" w:hAnsi="Times New Roman"/>
          <w:color w:val="000000"/>
          <w:sz w:val="24"/>
          <w:u w:val="single"/>
        </w:rPr>
        <w:t>X</w:t>
      </w:r>
      <w:r>
        <w:rPr>
          <w:rFonts w:ascii="Times New Roman" w:hAnsi="Times New Roman"/>
          <w:color w:val="000000"/>
          <w:sz w:val="24"/>
        </w:rPr>
        <w:t>.</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XI</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MISCELLANEOUS</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Section 11.01. </w:t>
      </w:r>
      <w:r>
        <w:rPr>
          <w:rFonts w:ascii="Times New Roman" w:hAnsi="Times New Roman"/>
          <w:color w:val="000000"/>
          <w:sz w:val="24"/>
          <w:u w:val="single"/>
        </w:rPr>
        <w:t>Amendments, Etc</w:t>
      </w:r>
      <w:r>
        <w:rPr>
          <w:rFonts w:ascii="Times New Roman" w:hAnsi="Times New Roman"/>
          <w:color w:val="000000"/>
          <w:sz w:val="24"/>
        </w:rPr>
        <w: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No failure on the part of any Purchaser Party to exercise, and no delay in exercising, any right hereunder shall operate as a waiver thereof; nor shall any single or partial exercise of any right hereunder preclude any other or further exercise thereof or the exercise of any other right. No amendment or waiver of any provision of this Agreement or consent to any departure by any of the Seller or any Affiliate thereof shall be effective unless in a writing signed by the Administrative Agent and the Majority Group Agents (and, in the case of any amendment, also signed by the Seller), and then such amendment, waiver or consent shall be effective only in the specific instance and for the specific purpose for which given;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(A) no amendment, waiver or consent shall, unless in writing and signed by the Servicer, affect the rights or duties of the Servicer under this Agreement; (B) no amendment, waiver or consent shall, unless in writing and signed by the Administrative Agent and each Group Agent: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change (directly or indirectly) the definitions of, Capital Coverage Deficit, Deemed Defaulted Receivable, 2026 Deemed Defaulted Receivable, Delinquent Receivable, Eligible Receivable, Facility Limit, Seller Obligation Final Due Date, Net Receivables Pool Balance, Sanctions, Sanctioned Jurisdiction, Sanctioned Person or Total Reserves contained in the Master Framework Agreement, or increase the then existing Concentration Percentage or Special Concentration Limit for any Obligor or change the calculation of the Capital Coverage Amount;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reduce the amount of Capital or Yield that is payable hereunder or delay any scheduled date for payment thereof;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change any Event of Termination or Servicer Default;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 release all or a material portion of the Sold Assets or Seller Collateral from the Administrative Agent’s security interest created 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 release any Performance Guarantor from any of its obligations under the Performance Guarantee or terminate the Performance Guarantee;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(vi) change any of the provisions of this </w:t>
      </w:r>
      <w:r>
        <w:rPr>
          <w:rFonts w:ascii="Times New Roman" w:hAnsi="Times New Roman"/>
          <w:color w:val="000000"/>
          <w:sz w:val="24"/>
          <w:u w:val="single"/>
        </w:rPr>
        <w:t>Section 11.01</w:t>
      </w:r>
      <w:r>
        <w:rPr>
          <w:rFonts w:ascii="Times New Roman" w:hAnsi="Times New Roman"/>
          <w:color w:val="000000"/>
          <w:sz w:val="24"/>
        </w:rPr>
        <w:t xml:space="preserve"> or the definition of “Majority Group Agents”; or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(vii) change the order of priority in which Collections are applied pursuant to </w:t>
      </w:r>
      <w:r>
        <w:rPr>
          <w:rFonts w:ascii="Times New Roman" w:hAnsi="Times New Roman"/>
          <w:color w:val="000000"/>
          <w:sz w:val="24"/>
          <w:u w:val="single"/>
        </w:rPr>
        <w:t>Section 3.01</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the foregoing, (A) no amendment, waiver or consent shall increase any Committed Purchaser’s Commitment hereunder without the consent of such Committed Purchaser and (B) no amendment, waiver or consent shall reduce any Fees payable by the Seller to any member of any Group or delay the dates on which any such Fees are payable, in either case, without the consent of the Group Agent for such Group.</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any provision herein to the contrary, this Agreement may be amended with the written consent of the Administrative Agent, Ashland, the Seller and the Purchasers affected thereby to amend the definition of “Alternative Currency” or “Relevant Rate” or Section 1.05 solely to add additional currency options and the applicable interest rate with respect thereto, in each case solely to the extent permitted pursuant to Section 1.05.</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11.02. </w:t>
      </w:r>
      <w:r>
        <w:rPr>
          <w:rFonts w:ascii="Times New Roman" w:hAnsi="Times New Roman"/>
          <w:color w:val="000000"/>
          <w:sz w:val="24"/>
          <w:u w:val="single"/>
        </w:rPr>
        <w:t>Notices, Etc</w:t>
      </w:r>
      <w:r>
        <w:rPr>
          <w:rFonts w:ascii="Times New Roman" w:hAnsi="Times New Roman"/>
          <w:color w:val="000000"/>
          <w:sz w:val="24"/>
        </w:rPr>
        <w:t>. All notices and other communications hereunder shall, unless otherwise stated herein, be in writing (which shall include facsimile communication) delivered, to each party hereto, at its address set forth under its name on Schedule 6 (</w:t>
      </w:r>
      <w:r>
        <w:rPr>
          <w:rFonts w:ascii="Times New Roman" w:hAnsi="Times New Roman"/>
          <w:i/>
          <w:color w:val="000000"/>
          <w:sz w:val="24"/>
        </w:rPr>
        <w:t>Notice Details</w:t>
      </w:r>
      <w:r>
        <w:rPr>
          <w:rFonts w:ascii="Times New Roman" w:hAnsi="Times New Roman"/>
          <w:color w:val="000000"/>
          <w:sz w:val="24"/>
        </w:rPr>
        <w:t>) of the Master Framework Agreement or at such other address as shall be designated by such party in a written notice to the other parties hereto. Notices and communications by facsimile shall be effective when sent (and shall be followed by hard copy sent by regular mail), and notices and communications sent by other means shall be effective when received.</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Section 11.03. </w:t>
      </w:r>
      <w:r>
        <w:rPr>
          <w:rFonts w:ascii="Times New Roman" w:hAnsi="Times New Roman"/>
          <w:color w:val="000000"/>
          <w:sz w:val="24"/>
          <w:u w:val="single"/>
        </w:rPr>
        <w:t>Assignability; Addition of Purchasers.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Assignment by Conduit Purchasers</w:t>
      </w:r>
      <w:r>
        <w:rPr>
          <w:rFonts w:ascii="Times New Roman" w:hAnsi="Times New Roman"/>
          <w:color w:val="000000"/>
          <w:sz w:val="24"/>
        </w:rPr>
        <w:t xml:space="preserve">. This Agreement and the rights of each Conduit Purchaser hereunder (including its right to receive payments of Capital and Yield) shall be assignable by such Conduit Purchaser and its successors and permitted assigns (i) to any Program Support Provider of such Conduit Purchaser without prior notice to or consent from the Seller or any other party, or any other condition or restriction of any kind, (ii) to any other Purchaser with prior notice to the Seller but without consent from the Seller or (iii) with the prior written consent of the Seller (such consent not to be unreasonably withheld, conditioned or delayed;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such consent shall not be required if an Event of Termination or Unmatured Event of Termination has occurred and is continuing), to any other Eligible Assignee. Each assignor of Capital (or any portion thereof) or any interest therein may, in connection with the assignment or participation, disclose to the assignee or Participant any information relating to the Seller and its Affiliates, including the Receivables,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furnished to such assignor by or on behalf of the Seller and its Affiliates or by the Administrative Agent; </w:t>
      </w:r>
      <w:r>
        <w:rPr>
          <w:rFonts w:ascii="Times New Roman" w:hAnsi="Times New Roman"/>
          <w:color w:val="000000"/>
          <w:sz w:val="24"/>
          <w:u w:val="single"/>
        </w:rPr>
        <w:t>provided</w:t>
      </w:r>
      <w:r>
        <w:rPr>
          <w:rFonts w:ascii="Times New Roman" w:hAnsi="Times New Roman"/>
          <w:color w:val="000000"/>
          <w:sz w:val="24"/>
        </w:rPr>
        <w:t xml:space="preserve"> that, prior to any such disclosure, the assignee or Participant agrees to preserve the confidentiality of any confidential information relating to the Seller and its Affiliates received by it from any of the foregoing entities in a manner consistent with </w:t>
      </w:r>
      <w:r>
        <w:rPr>
          <w:rFonts w:ascii="Times New Roman" w:hAnsi="Times New Roman"/>
          <w:color w:val="000000"/>
          <w:sz w:val="24"/>
          <w:u w:val="single"/>
        </w:rPr>
        <w:t>Section 11.06(b)</w:t>
      </w:r>
      <w:r>
        <w:rPr>
          <w:rFonts w:ascii="Times New Roman" w:hAnsi="Times New Roman"/>
          <w:color w:val="000000"/>
          <w:sz w:val="24"/>
        </w:rPr>
        <w: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Assignment by Committed Purchasers</w:t>
      </w:r>
      <w:r>
        <w:rPr>
          <w:rFonts w:ascii="Times New Roman" w:hAnsi="Times New Roman"/>
          <w:color w:val="000000"/>
          <w:sz w:val="24"/>
        </w:rPr>
        <w:t xml:space="preserve">. Each Committed Purchaser may assign to any Eligible Assignee or to any other Committed Purchaser all or a portion of its rights and obligations under this Agreement (including, without limitation, all or a portion of its Commitment and any Capital or interests therein owned by it);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 except for an assignment by a Committed Purchaser to either an Affiliate of such Committed Purchaser or any other Committed Purchaser, each such assignment shall require the prior written consent of the Seller (such consent not to be unreasonably withheld, conditioned or delayed;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such consent shall not be required if an Event of Termination or an Unmatured Event of Termination has occurred and is continuing);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each such assignment shall be of a constant, and not a varying, percentage of all rights and obligations under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the amount being assigned pursuant to each such assignment (determined as of the date of the Assignment and Acceptance Agreement with respect to such assignment) shall in no event be less than the lesser of (x) the Euro Equivalent of €5,000,000 and (y) all of the assigning Committed Purchaser’s Commitment;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 the parties to each such assignment shall execute and deliver to the Administrative Agent, for its acceptance and recording in the Register, an Assignment and Acceptance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Upon such execution, delivery, acceptance and recording from and after the effective date specified in such Assignment and Acceptance Agreement, (x) the assignee thereunder shall be a party to this Agreement, and to the extent that rights and obligations under this Agreement have been assigned to it pursuant to such Assignment and Acceptance Agreement, have the rights and obligations of a Committed Purchaser hereunder and (y) the assigning Committed Purchaser shall, to the extent that rights and obligations have been assigned by it pursuant to such Assignment and Acceptance Agreement, relinquish such rights and be released from such obligations under this Agreement (and, in the case of an Assignment and Acceptance Agreement covering all or the remaining portion of an assigning Committed Purchaser’s rights and obligations under this Agreement, such Committed Purchaser shall cease to be a party hereto).</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Procedure</w:t>
      </w:r>
      <w:r>
        <w:rPr>
          <w:rFonts w:ascii="Times New Roman" w:hAnsi="Times New Roman"/>
          <w:color w:val="000000"/>
          <w:sz w:val="24"/>
        </w:rPr>
        <w:t>. Upon its receipt of an Assignment and Acceptance Agreement executed and delivered by an assigning Committed Purchaser and an Eligible Assignee or assignee Committed Purchaser, the Administrative Agent shall, if such Assignment and Acceptance Agreement has been duly completed, (i) accept such Assignment and Acceptance Agreement and (ii) give prompt notice thereof to the Seller and the Servicer.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(d) </w:t>
      </w:r>
      <w:r>
        <w:rPr>
          <w:rFonts w:ascii="Times New Roman" w:hAnsi="Times New Roman"/>
          <w:color w:val="000000"/>
          <w:sz w:val="24"/>
          <w:u w:val="single"/>
        </w:rPr>
        <w:t>Participations</w:t>
      </w:r>
      <w:r>
        <w:rPr>
          <w:rFonts w:ascii="Times New Roman" w:hAnsi="Times New Roman"/>
          <w:color w:val="000000"/>
          <w:sz w:val="24"/>
        </w:rPr>
        <w:t>. Each Committed Purchaser may sell participations to one or more Eligible Assignees (each, a “</w:t>
      </w:r>
      <w:r>
        <w:rPr>
          <w:rFonts w:ascii="Times New Roman" w:hAnsi="Times New Roman"/>
          <w:color w:val="000000"/>
          <w:sz w:val="24"/>
          <w:u w:val="single"/>
        </w:rPr>
        <w:t>Participant</w:t>
      </w:r>
      <w:r>
        <w:rPr>
          <w:rFonts w:ascii="Times New Roman" w:hAnsi="Times New Roman"/>
          <w:color w:val="000000"/>
          <w:sz w:val="24"/>
        </w:rPr>
        <w:t xml:space="preserve">”) in or to all or a portion of its rights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and/or obligations under this Agreement (including, without limitation, all or a portion of its Commitment and its Capital and Yield thereon);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such Committed Purchaser’s obligations under this Agreement (including, without limitation, its Commitment to the Seller hereunder) shall remain unchanged,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such Committed Purchaser shall remain solely responsible to the other parties to this Agreement for the performance of such obligations.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The Administrative Agent, the Group Agents, the Conduit Purchasers, the other Committed Purchasers, the Seller and the Servicer shall have the right to continue to deal solely and directly with such Committed Purchaser in connection with such Committed Purchaser’s rights and obligations under this Agreement. The Seller agrees that each Participant shall be entitled to the benefits of </w:t>
      </w:r>
      <w:r>
        <w:rPr>
          <w:rFonts w:ascii="Times New Roman" w:hAnsi="Times New Roman"/>
          <w:color w:val="000000"/>
          <w:sz w:val="24"/>
          <w:u w:val="single"/>
        </w:rPr>
        <w:t>Section 4.01</w:t>
      </w:r>
      <w:r>
        <w:rPr>
          <w:rFonts w:ascii="Times New Roman" w:hAnsi="Times New Roman"/>
          <w:color w:val="000000"/>
          <w:sz w:val="24"/>
        </w:rPr>
        <w:t xml:space="preserve"> and </w:t>
      </w:r>
      <w:r>
        <w:rPr>
          <w:rFonts w:ascii="Times New Roman" w:hAnsi="Times New Roman"/>
          <w:color w:val="000000"/>
          <w:sz w:val="24"/>
          <w:u w:val="single"/>
        </w:rPr>
        <w:t>Section 4.03</w:t>
      </w:r>
      <w:r>
        <w:rPr>
          <w:rFonts w:ascii="Times New Roman" w:hAnsi="Times New Roman"/>
          <w:color w:val="000000"/>
          <w:sz w:val="24"/>
        </w:rPr>
        <w:t xml:space="preserve"> (subject to the requirements and limitations therein, including the requirements under </w:t>
      </w:r>
      <w:r>
        <w:rPr>
          <w:rFonts w:ascii="Times New Roman" w:hAnsi="Times New Roman"/>
          <w:color w:val="000000"/>
          <w:sz w:val="24"/>
          <w:u w:val="single"/>
        </w:rPr>
        <w:t>Section 4.03(f)</w:t>
      </w:r>
      <w:r>
        <w:rPr>
          <w:rFonts w:ascii="Times New Roman" w:hAnsi="Times New Roman"/>
          <w:color w:val="000000"/>
          <w:sz w:val="24"/>
        </w:rPr>
        <w:t xml:space="preserve"> (it being understood that the documentation required under </w:t>
      </w:r>
      <w:r>
        <w:rPr>
          <w:rFonts w:ascii="Times New Roman" w:hAnsi="Times New Roman"/>
          <w:color w:val="000000"/>
          <w:sz w:val="24"/>
          <w:u w:val="single"/>
        </w:rPr>
        <w:t>Section 4.03(f)</w:t>
      </w:r>
      <w:r>
        <w:rPr>
          <w:rFonts w:ascii="Times New Roman" w:hAnsi="Times New Roman"/>
          <w:color w:val="000000"/>
          <w:sz w:val="24"/>
        </w:rPr>
        <w:t xml:space="preserve"> shall be delivered to the participating Purchaser)) to the same extent as if it were a Purchaser and had acquired its interest by assignment pursuant to </w:t>
      </w:r>
      <w:r>
        <w:rPr>
          <w:rFonts w:ascii="Times New Roman" w:hAnsi="Times New Roman"/>
          <w:color w:val="000000"/>
          <w:sz w:val="24"/>
          <w:u w:val="single"/>
        </w:rPr>
        <w:t>clause (b)</w:t>
      </w:r>
      <w:r>
        <w:rPr>
          <w:rFonts w:ascii="Times New Roman" w:hAnsi="Times New Roman"/>
          <w:color w:val="000000"/>
          <w:sz w:val="24"/>
        </w:rPr>
        <w:t xml:space="preserve"> of this Section; provided that such Participant shall not be entitled to receive any greater payment under </w:t>
      </w:r>
      <w:r>
        <w:rPr>
          <w:rFonts w:ascii="Times New Roman" w:hAnsi="Times New Roman"/>
          <w:color w:val="000000"/>
          <w:sz w:val="24"/>
          <w:u w:val="single"/>
        </w:rPr>
        <w:t>Section 4.01</w:t>
      </w:r>
      <w:r>
        <w:rPr>
          <w:rFonts w:ascii="Times New Roman" w:hAnsi="Times New Roman"/>
          <w:color w:val="000000"/>
          <w:sz w:val="24"/>
        </w:rPr>
        <w:t xml:space="preserve"> or </w:t>
      </w:r>
      <w:r>
        <w:rPr>
          <w:rFonts w:ascii="Times New Roman" w:hAnsi="Times New Roman"/>
          <w:color w:val="000000"/>
          <w:sz w:val="24"/>
          <w:u w:val="single"/>
        </w:rPr>
        <w:t>Section 4.03</w:t>
      </w:r>
      <w:r>
        <w:rPr>
          <w:rFonts w:ascii="Times New Roman" w:hAnsi="Times New Roman"/>
          <w:color w:val="000000"/>
          <w:sz w:val="24"/>
        </w:rPr>
        <w:t>, with respect to any participation, than its participating Purchaser would have been entitled to receive, except to the extent such entitlement to receive a greater payment results from a Change in Law that occurs after the Participant acquired the applicable participation.</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(e) </w:t>
      </w:r>
      <w:r>
        <w:rPr>
          <w:rFonts w:ascii="Times New Roman" w:hAnsi="Times New Roman"/>
          <w:color w:val="000000"/>
          <w:sz w:val="24"/>
          <w:u w:val="single"/>
        </w:rPr>
        <w:t>Assignments by Agents</w:t>
      </w:r>
      <w:r>
        <w:rPr>
          <w:rFonts w:ascii="Times New Roman" w:hAnsi="Times New Roman"/>
          <w:color w:val="000000"/>
          <w:sz w:val="24"/>
        </w:rPr>
        <w:t xml:space="preserve">. This Agreement and the rights and obligations of the Administrative Agent and each Group Agent herein shall be assignable by the Administrative Agent or such Group Agent, as the case may be, and its successors and assigns; </w:t>
      </w:r>
      <w:r>
        <w:rPr>
          <w:rFonts w:ascii="Times New Roman" w:hAnsi="Times New Roman"/>
          <w:color w:val="000000"/>
          <w:sz w:val="24"/>
          <w:u w:val="single"/>
        </w:rPr>
        <w:t>provided</w:t>
      </w:r>
      <w:r>
        <w:rPr>
          <w:rFonts w:ascii="Times New Roman" w:hAnsi="Times New Roman"/>
          <w:color w:val="000000"/>
          <w:sz w:val="24"/>
        </w:rPr>
        <w:t xml:space="preserve"> that in the case of an assignment to a Person that is not an Affiliate of the Administrative Agent or such Group Agent, so long as no Event of Termination or Unmatured Event of Termination has occurred and is continuing, such assignment shall require the Seller’s consent (not to be unreasonably withheld, conditioned or delayed).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(f) </w:t>
      </w:r>
      <w:r>
        <w:rPr>
          <w:rFonts w:ascii="Times New Roman" w:hAnsi="Times New Roman"/>
          <w:color w:val="000000"/>
          <w:sz w:val="24"/>
          <w:u w:val="single"/>
        </w:rPr>
        <w:t>Assignments by the Seller or the Servicer</w:t>
      </w:r>
      <w:r>
        <w:rPr>
          <w:rFonts w:ascii="Times New Roman" w:hAnsi="Times New Roman"/>
          <w:color w:val="000000"/>
          <w:sz w:val="24"/>
        </w:rPr>
        <w:t xml:space="preserve">. Neither the Seller nor, except as provided in </w:t>
      </w:r>
      <w:r>
        <w:rPr>
          <w:rFonts w:ascii="Times New Roman" w:hAnsi="Times New Roman"/>
          <w:color w:val="000000"/>
          <w:sz w:val="24"/>
          <w:u w:val="single"/>
        </w:rPr>
        <w:t>Section 6.01</w:t>
      </w:r>
      <w:r>
        <w:rPr>
          <w:rFonts w:ascii="Times New Roman" w:hAnsi="Times New Roman"/>
          <w:color w:val="000000"/>
          <w:sz w:val="24"/>
        </w:rPr>
        <w:t>, the Servicer may assign any of its respective rights or obligations hereunder or any interest herein without the prior written consent of the Administrative Agent and each Group Agent (such consent to be provided or withheld in the sole discretion of such Person).</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(g) </w:t>
      </w:r>
      <w:r>
        <w:rPr>
          <w:rFonts w:ascii="Times New Roman" w:hAnsi="Times New Roman"/>
          <w:color w:val="000000"/>
          <w:sz w:val="24"/>
          <w:u w:val="single"/>
        </w:rPr>
        <w:t>Addition of Purchasers or Groups</w:t>
      </w:r>
      <w:r>
        <w:rPr>
          <w:rFonts w:ascii="Times New Roman" w:hAnsi="Times New Roman"/>
          <w:color w:val="000000"/>
          <w:sz w:val="24"/>
        </w:rPr>
        <w:t xml:space="preserve">. The Seller may, with the written consent of the Administrative Agent and the Majority Group Agents, add additional Persons as Purchasers (by creating a new Group) or cause an existing Purchaser to increase its Commitment;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Commitment of any existing Purchaser may only be increased with the prior written consent of such Purchaser. Each new Purchaser (or Group) shall become a party hereto, by executing and delivering to the Administrative Agent and the Seller, an assumption agreement (each, an “</w:t>
      </w:r>
      <w:r>
        <w:rPr>
          <w:rFonts w:ascii="Times New Roman" w:hAnsi="Times New Roman"/>
          <w:color w:val="000000"/>
          <w:sz w:val="24"/>
          <w:u w:val="single"/>
        </w:rPr>
        <w:t>Assumption Agreement</w:t>
      </w:r>
      <w:r>
        <w:rPr>
          <w:rFonts w:ascii="Times New Roman" w:hAnsi="Times New Roman"/>
          <w:color w:val="000000"/>
          <w:sz w:val="24"/>
        </w:rPr>
        <w:t xml:space="preserve">”) in the form of </w:t>
      </w:r>
      <w:r>
        <w:rPr>
          <w:rFonts w:ascii="Times New Roman" w:hAnsi="Times New Roman"/>
          <w:color w:val="000000"/>
          <w:sz w:val="24"/>
          <w:u w:val="single"/>
        </w:rPr>
        <w:t>Exhibit D</w:t>
      </w:r>
      <w:r>
        <w:rPr>
          <w:rFonts w:ascii="Times New Roman" w:hAnsi="Times New Roman"/>
          <w:color w:val="000000"/>
          <w:sz w:val="24"/>
        </w:rPr>
        <w:t xml:space="preserve"> hereto (which Assumption Agreement shall, in the case of any new Purchaser, be executed by each Person in such new Purchaser’s Group).</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(h) </w:t>
      </w:r>
      <w:r>
        <w:rPr>
          <w:rFonts w:ascii="Times New Roman" w:hAnsi="Times New Roman"/>
          <w:color w:val="000000"/>
          <w:sz w:val="24"/>
          <w:u w:val="single"/>
        </w:rPr>
        <w:t>Pledge to a Federal Reserve Bank</w:t>
      </w:r>
      <w:r>
        <w:rPr>
          <w:rFonts w:ascii="Times New Roman" w:hAnsi="Times New Roman"/>
          <w:color w:val="000000"/>
          <w:sz w:val="24"/>
        </w:rPr>
        <w:t xml:space="preserve">. Notwithstanding anything to the contrary set forth herein, any Purchaser, Program Support Provider or any of their respective Affiliates may at any time pledge or grant a security interest in all or any portion of its interest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in, to and under this Agreement (including, without limitation, rights to payment of Capital and Yield) and any other Transaction Document to secure its obligations to a Federal Reserve Bank, without notice to or the consent of the Seller, the Servicer, any Affiliate thereof or any Purchaser Party;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no such pledge shall relieve such assignor of its obligations under this Agreement.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(i) </w:t>
      </w:r>
      <w:r>
        <w:rPr>
          <w:rFonts w:ascii="Times New Roman" w:hAnsi="Times New Roman"/>
          <w:color w:val="000000"/>
          <w:sz w:val="24"/>
          <w:u w:val="single"/>
        </w:rPr>
        <w:t>Pledge to a Security Trustee</w:t>
      </w:r>
      <w:r>
        <w:rPr>
          <w:rFonts w:ascii="Times New Roman" w:hAnsi="Times New Roman"/>
          <w:color w:val="000000"/>
          <w:sz w:val="24"/>
        </w:rPr>
        <w:t xml:space="preserve">. Notwithstanding anything to the contrary set forth herein, any Conduit Purchaser may at any time pledge or grant a security interest in all or any portion of its interest in, to and under this Agreement (including, without limitation, rights to payment of Capital and Yield) and any other Transaction Document to a collateral trustee (or Person acting in a similar capacity) as collateral security in connection with such Conduit Purchaser’s asset-backed commercial paper note program, without notice to or the consent of the Seller, the Servicer, any Affiliate thereof or any Purchaser Party;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no such pledge shall relieve such assignor of its obligations under this Agreement.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11.04. </w:t>
      </w:r>
      <w:r>
        <w:rPr>
          <w:rFonts w:ascii="Times New Roman" w:hAnsi="Times New Roman"/>
          <w:color w:val="000000"/>
          <w:sz w:val="24"/>
          <w:u w:val="single"/>
        </w:rPr>
        <w:t>Costs and Expenses</w:t>
      </w:r>
      <w:r>
        <w:rPr>
          <w:rFonts w:ascii="Times New Roman" w:hAnsi="Times New Roman"/>
          <w:color w:val="000000"/>
          <w:sz w:val="24"/>
        </w:rPr>
        <w:t xml:space="preserve">. In addition to the rights of indemnification granted under </w:t>
      </w:r>
      <w:r>
        <w:rPr>
          <w:rFonts w:ascii="Times New Roman" w:hAnsi="Times New Roman"/>
          <w:color w:val="000000"/>
          <w:sz w:val="24"/>
          <w:u w:val="single"/>
        </w:rPr>
        <w:t>part 1 (</w:t>
      </w:r>
      <w:r>
        <w:rPr>
          <w:rFonts w:ascii="Times New Roman" w:hAnsi="Times New Roman"/>
          <w:i/>
          <w:color w:val="000000"/>
          <w:sz w:val="24"/>
          <w:u w:val="single"/>
        </w:rPr>
        <w:t>Indemnification by the Seller</w:t>
      </w:r>
      <w:r>
        <w:rPr>
          <w:rFonts w:ascii="Times New Roman" w:hAnsi="Times New Roman"/>
          <w:color w:val="000000"/>
          <w:sz w:val="24"/>
          <w:u w:val="single"/>
        </w:rPr>
        <w:t>) of Schedule 5 (</w:t>
      </w:r>
      <w:r>
        <w:rPr>
          <w:rFonts w:ascii="Times New Roman" w:hAnsi="Times New Roman"/>
          <w:i/>
          <w:color w:val="000000"/>
          <w:sz w:val="24"/>
          <w:u w:val="single"/>
        </w:rPr>
        <w:t>Indemnities</w:t>
      </w:r>
      <w:r>
        <w:rPr>
          <w:rFonts w:ascii="Times New Roman" w:hAnsi="Times New Roman"/>
          <w:color w:val="000000"/>
          <w:sz w:val="24"/>
          <w:u w:val="single"/>
        </w:rPr>
        <w:t>)</w:t>
      </w:r>
      <w:r>
        <w:rPr>
          <w:rFonts w:ascii="Times New Roman" w:hAnsi="Times New Roman"/>
          <w:color w:val="000000"/>
          <w:sz w:val="24"/>
        </w:rPr>
        <w:t xml:space="preserve"> to the Master Framework Agreement hereof, the Seller agrees to pay on demand all reasonable out-of-pocket costs and expenses in connection with the preparation, negotiation, execution, delivery and administration of this Agreement, any Program Support Agreement (or any supplement or amendment thereof) related to this Agreement and the other Transaction Documents (together with all amendments, restatements, supplements, consents and waivers, if any, from time to time hereto and thereto), including, without limitation, (i) the Attorney Costs for the Administrative Agent and the other Purchaser Parties and any of their respective Affiliates with respect thereto and with respect to advising the Administrative Agent and the other Purchaser Parties and their respective Affiliates as to their rights and remedies under this Agreement and the other Transaction Documents and (ii) reasonable accountants’, auditors’ and consultants’ fees and expenses for the Administrative Agent and the other Purchaser Parties and any of their respective Affiliates and the fees and charges of any nationally recognized statistical rating agency incurred in connection with the administration and maintenance of this Agreement or advising the Administrative Agent or any other Purchaser Party as to their rights and remedies under this Agreement or as to any actual or reasonably claimed breach of this Agreement or any other Transaction Document. In addition, the Seller agrees to pay on demand all reasonable out-of-pocket costs and expenses (including Attorney Costs), of the Administrative Agent and the other Purchaser Parties and their respective Affiliates, incurred in connection with the enforcement of any of their respective rights or remedies under the provisions of this Agreement and the other Transaction Documents.</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Section 11.05. </w:t>
      </w:r>
      <w:r>
        <w:rPr>
          <w:rFonts w:ascii="Times New Roman" w:hAnsi="Times New Roman"/>
          <w:color w:val="000000"/>
          <w:sz w:val="24"/>
          <w:u w:val="single"/>
        </w:rPr>
        <w:t>No Proceedings; Limitation on Payments; Limited Recourse</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Each of the Seller, the Administrative Agent, the Servicer, each Group Agent, each Purchaser and each assignee of Capital or any Yield thereof or of any other Seller Obligations agrees that it will not institute against, or join any other Person in instituting against, any Conduit Purchaser any Insolvency Proceeding so long as any Commercial Paper or other senior indebtedness issued by such Conduit Purchaser shall be outstanding or there shall not have elapsed one year plus one day since the last day on which any such Commercial Paper or other senior indebtedness shall have been outstanding.</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Notwithstanding any provisions contained in this Agreement to the contrary, a Conduit Purchaser shall not, and shall be under no obligation to, pay any amount, if any, payable by it pursuant to this Agreement or any other Transaction Document unless (i) such Conduit Purchaser has received funds which may be used to make such payment and which funds are not required to repay such Conduit Purchaser’s Commercial Paper when due and (ii) after giving effect to such payment, either (x) such Conduit Purchaser could issue Commercial Paper to refinance all of its outstanding Commercial Paper (assuming such outstanding Commercial Paper matured at such time) in accordance with the program documents governing such Conduit Purchaser’s securitization program or (y) all of such Conduit Purchaser’s Commercial Paper are paid in full. Any amount which any Conduit Purchaser does not pay pursuant to the operation of the preceding sentence shall not constitute a claim (as defined in Section 101 of the Bankruptcy Code) against or company obligation of such Conduit Purchaser for any such insufficiency unless and until such Conduit Purchaser satisfies the provisions of </w:t>
      </w:r>
      <w:r>
        <w:rPr>
          <w:rFonts w:ascii="Times New Roman" w:hAnsi="Times New Roman"/>
          <w:color w:val="000000"/>
          <w:sz w:val="24"/>
          <w:u w:val="single"/>
        </w:rPr>
        <w:t>clauses (i)</w:t>
      </w:r>
      <w:r>
        <w:rPr>
          <w:rFonts w:ascii="Times New Roman" w:hAnsi="Times New Roman"/>
          <w:color w:val="000000"/>
          <w:sz w:val="24"/>
        </w:rPr>
        <w:t xml:space="preserve"> and </w:t>
      </w:r>
      <w:r>
        <w:rPr>
          <w:rFonts w:ascii="Times New Roman" w:hAnsi="Times New Roman"/>
          <w:color w:val="000000"/>
          <w:sz w:val="24"/>
          <w:u w:val="single"/>
        </w:rPr>
        <w:t>(ii)</w:t>
      </w:r>
      <w:r>
        <w:rPr>
          <w:rFonts w:ascii="Times New Roman" w:hAnsi="Times New Roman"/>
          <w:color w:val="000000"/>
          <w:sz w:val="24"/>
        </w:rPr>
        <w:t xml:space="preserve"> above. The provisions of this </w:t>
      </w:r>
      <w:r>
        <w:rPr>
          <w:rFonts w:ascii="Times New Roman" w:hAnsi="Times New Roman"/>
          <w:color w:val="000000"/>
          <w:sz w:val="24"/>
          <w:u w:val="single"/>
        </w:rPr>
        <w:t>Section 11.05</w:t>
      </w:r>
      <w:r>
        <w:rPr>
          <w:rFonts w:ascii="Times New Roman" w:hAnsi="Times New Roman"/>
          <w:color w:val="000000"/>
          <w:sz w:val="24"/>
        </w:rPr>
        <w:t xml:space="preserve"> shall survive any termination of this Agreement.</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Section 11.06. </w:t>
      </w:r>
      <w:r>
        <w:rPr>
          <w:rFonts w:ascii="Times New Roman" w:hAnsi="Times New Roman"/>
          <w:color w:val="000000"/>
          <w:sz w:val="24"/>
          <w:u w:val="single"/>
        </w:rPr>
        <w:t>Confidentiality</w:t>
      </w:r>
      <w:r>
        <w:rPr>
          <w:rFonts w:ascii="Times New Roman" w:hAnsi="Times New Roman"/>
          <w:color w:val="000000"/>
          <w:sz w:val="24"/>
        </w:rPr>
        <w: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(a) Each of the Seller and the Servicer covenants and agrees to hold in confidence, and not disclose to any Person, the terms of this Agreement or the Fee Letter (including any fees payable in connection with this Agreement, the Fee Letter or any other Transaction Document or the identity of the Administrative Agent or any other Purchaser Party), except as the Administrative Agent and each Group Agent may have consented to in writing prior to any proposed disclosure;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it may disclose such information (i) to its Advisors and Representatives, (ii) to the extent such information has become available to the public other than as a result of a disclosure by or through the Seller, the Servicer or their Advisors and Representatives or (iii) to the extent it should be (A) required by Applicable Law, or in connection with any legal or regulatory proceeding or (B) requested by any Governmental Authority to disclose such information; </w:t>
      </w:r>
      <w:r>
        <w:rPr>
          <w:rFonts w:ascii="Times New Roman" w:hAnsi="Times New Roman"/>
          <w:color w:val="000000"/>
          <w:sz w:val="24"/>
          <w:u w:val="single"/>
        </w:rPr>
        <w:t>provided</w:t>
      </w:r>
      <w:r>
        <w:rPr>
          <w:rFonts w:ascii="Times New Roman" w:hAnsi="Times New Roman"/>
          <w:color w:val="000000"/>
          <w:sz w:val="24"/>
        </w:rPr>
        <w:t xml:space="preserve">, that, in the case of </w:t>
      </w:r>
      <w:r>
        <w:rPr>
          <w:rFonts w:ascii="Times New Roman" w:hAnsi="Times New Roman"/>
          <w:color w:val="000000"/>
          <w:sz w:val="24"/>
          <w:u w:val="single"/>
        </w:rPr>
        <w:t>clause (iii)</w:t>
      </w:r>
      <w:r>
        <w:rPr>
          <w:rFonts w:ascii="Times New Roman" w:hAnsi="Times New Roman"/>
          <w:color w:val="000000"/>
          <w:sz w:val="24"/>
        </w:rPr>
        <w:t xml:space="preserve"> above, the Seller and the Servicer will use reasonable efforts to maintain confidentiality and will (unless otherwise prohibited by Applicable Law) notify the Administrative Agent and the affected Purchaser Party of its intention to make any such disclosure (to the extent practicable) prior to making such disclosure. Each of the Seller and the Servicer agrees to be responsible for any breach of this Section by its Representatives and Advisors and agrees that its Representatives and Advisors will be advised by it of the confidential nature of such information and shall agree to comply with this Section. Notwithstanding the foregoing, it is expressly agreed that each of the Seller, the Servicer and their respective Affiliates may publish a press release or otherwise publicly announce the existence and principal amount of the Commitments under this Agreement and the transactions contemplated hereby; </w:t>
      </w:r>
      <w:r>
        <w:rPr>
          <w:rFonts w:ascii="Times New Roman" w:hAnsi="Times New Roman"/>
          <w:color w:val="000000"/>
          <w:sz w:val="24"/>
          <w:u w:val="single"/>
        </w:rPr>
        <w:t>provided</w:t>
      </w:r>
      <w:r>
        <w:rPr>
          <w:rFonts w:ascii="Times New Roman" w:hAnsi="Times New Roman"/>
          <w:color w:val="000000"/>
          <w:sz w:val="24"/>
        </w:rPr>
        <w:t xml:space="preserve"> that the Administrative Agent shall be provided a reasonable opportunity to review such press release or other public announcement prior to its release and provide comment thereon; and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no such press release shall name or otherwise identify the Administrative Agent, any other Purchaser Party or any of their respective Affiliates without such Person’s prior written consent (such consent not to be unreasonably withheld, conditioned or delayed). Notwithstanding the foregoing, the Seller consents to the publication by the Administrative Agent or any other Purchaser Party of a tombstone or similar advertising material relating to the financing transactions contemplated by this Agreement.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(b) Each of the Administrative Agent and each other Purchaser Party, severally and with respect to itself only, agrees to hold in confidence, and not disclose to any Person, any confidential and proprietary information concerning the Seller, the Servicer and their respective Affiliates and their businesses or the terms of this Agreement (including any fees payable in connection with this Agreement or the other Transaction Documents), except as the Seller or the Servicer may have consented to in writing prior to any proposed disclosure;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it may disclose such information (i) to its Advisors and Representatives and to any related Program Support Provider, (ii) to its assignees and Participants and potential assignees and Participants and their respective counsel if they agree in writing to hold it confidential, (iii) to the extent such information has become available to the public other than as a result of a disclosure by or through it or its Representatives or Advisors or any related Program Support Provider, (iv) to any nationally recognized statistical rating organization in connection with obtaining or maintaining the rating of any Conduit Purchaser’s Commercial Paper or as contemplated by 17 CFR 240.17g-5(a)(3), (v) at the request of a bank examiner or other regulatory authority or in connection with an examination of any of the Administrative Agent, any Group Agent or any Purchaser or their respective Affiliates or Program Support Providers or (vi) to the extent it should be (A) required by Applicable Law, or in connection with any legal or regulatory proceeding or (B) requested by any Governmental Authority to disclose such information; </w:t>
      </w:r>
      <w:r>
        <w:rPr>
          <w:rFonts w:ascii="Times New Roman" w:hAnsi="Times New Roman"/>
          <w:color w:val="000000"/>
          <w:sz w:val="24"/>
          <w:u w:val="single"/>
        </w:rPr>
        <w:t>provided</w:t>
      </w:r>
      <w:r>
        <w:rPr>
          <w:rFonts w:ascii="Times New Roman" w:hAnsi="Times New Roman"/>
          <w:color w:val="000000"/>
          <w:sz w:val="24"/>
        </w:rPr>
        <w:t xml:space="preserve">, that, in the case of </w:t>
      </w:r>
      <w:r>
        <w:rPr>
          <w:rFonts w:ascii="Times New Roman" w:hAnsi="Times New Roman"/>
          <w:color w:val="000000"/>
          <w:sz w:val="24"/>
          <w:u w:val="single"/>
        </w:rPr>
        <w:t>clause (vi)</w:t>
      </w:r>
      <w:r>
        <w:rPr>
          <w:rFonts w:ascii="Times New Roman" w:hAnsi="Times New Roman"/>
          <w:color w:val="000000"/>
          <w:sz w:val="24"/>
        </w:rPr>
        <w:t xml:space="preserve"> above, the Administrative Agent, each Group Agent and each Purchaser will use reasonable efforts to maintain confidentiality and will (unless otherwise prohibited by Applicable Law) notify the Seller and the Servicer of its making any such disclosure as promptly as reasonably practicable thereafter. Each of the Administrative Agent, each Group Agent and each Purchaser, severally and with respect to itself only, agrees to be responsible for any breach of this Section by its Representatives, Advisors and Program Support Providers and agrees that its Representatives, Advisors and Program Support Providers will be advised by it of the confidential nature of such information and shall agree to comply with this Section.</w:t>
      </w:r>
    </w:p>
    <w:p>
      <w:pPr>
        <w:pStyle w:val="TextBody"/>
        <w:bidi w:val="0"/>
        <w:spacing w:before="240" w:after="283"/>
        <w:jc w:val="both"/>
        <w:rPr>
          <w:rFonts w:ascii="Times New Roman" w:hAnsi="Times New Roman"/>
          <w:sz w:val="24"/>
        </w:rPr>
      </w:pPr>
      <w:r>
        <w:rPr>
          <w:rFonts w:ascii="Times New Roman" w:hAnsi="Times New Roman"/>
          <w:color w:val="000000"/>
          <w:sz w:val="24"/>
        </w:rPr>
        <w:t>(c) As used in this Section, (i) “</w:t>
      </w:r>
      <w:r>
        <w:rPr>
          <w:rFonts w:ascii="Times New Roman" w:hAnsi="Times New Roman"/>
          <w:color w:val="000000"/>
          <w:sz w:val="24"/>
          <w:u w:val="single"/>
        </w:rPr>
        <w:t>Advisors</w:t>
      </w:r>
      <w:r>
        <w:rPr>
          <w:rFonts w:ascii="Times New Roman" w:hAnsi="Times New Roman"/>
          <w:color w:val="000000"/>
          <w:sz w:val="24"/>
        </w:rPr>
        <w:t>” means, with respect to any Person, such Person’s accountants, attorneys and other confidential advisors and (ii) “</w:t>
      </w:r>
      <w:r>
        <w:rPr>
          <w:rFonts w:ascii="Times New Roman" w:hAnsi="Times New Roman"/>
          <w:color w:val="000000"/>
          <w:sz w:val="24"/>
          <w:u w:val="single"/>
        </w:rPr>
        <w:t>Representatives</w:t>
      </w:r>
      <w:r>
        <w:rPr>
          <w:rFonts w:ascii="Times New Roman" w:hAnsi="Times New Roman"/>
          <w:color w:val="000000"/>
          <w:sz w:val="24"/>
        </w:rPr>
        <w:t xml:space="preserve">” means, with respect to any Person, such Person’s Affiliates, Subsidiaries, directors, managers, officers, employees, members, investors, financing sources, insurers, professional advisors, representatives and agents; </w:t>
      </w:r>
      <w:r>
        <w:rPr>
          <w:rFonts w:ascii="Times New Roman" w:hAnsi="Times New Roman"/>
          <w:i/>
          <w:color w:val="000000"/>
          <w:sz w:val="24"/>
        </w:rPr>
        <w:t xml:space="preserve">provided </w:t>
      </w:r>
      <w:r>
        <w:rPr>
          <w:rFonts w:ascii="Times New Roman" w:hAnsi="Times New Roman"/>
          <w:color w:val="000000"/>
          <w:sz w:val="24"/>
        </w:rPr>
        <w:t>that such Persons shall not be deemed to Representatives of a Person unless (and solely to the extent that) confidential information is furnished to such Person.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 Notwithstanding the foregoing, to the extent not inconsistent with applicable securities laws, each party hereto (and each of its employees, representatives or other agents) may disclose to any and all persons, without limitation of any kind, the tax treatment and tax structure (as defined in Section 1.6011-4 of the Treasury Regulations) of the transactions contemplated by the Transaction Documents and all materials of any kind (including opinions or other tax analyses) that are provided to such Person relating to such tax treatment and tax structure.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11.07. </w:t>
      </w:r>
      <w:r>
        <w:rPr>
          <w:rFonts w:ascii="Times New Roman" w:hAnsi="Times New Roman"/>
          <w:color w:val="000000"/>
          <w:sz w:val="24"/>
          <w:u w:val="single"/>
        </w:rPr>
        <w:t>Execution in Counterparts</w:t>
      </w:r>
      <w:r>
        <w:rPr>
          <w:rFonts w:ascii="Times New Roman" w:hAnsi="Times New Roman"/>
          <w:color w:val="000000"/>
          <w:sz w:val="24"/>
        </w:rPr>
        <w:t>. This Agreement may be executed in any number of counterparts, each of which when so executed shall be deemed to be an original and all of which when taken together shall constitute one and the same agreement. Delivery of an executed counterpart hereof by facsimile or other electronic means shall be equally effective as delivery of an originally executed counterpart.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11.08. </w:t>
      </w:r>
      <w:r>
        <w:rPr>
          <w:rFonts w:ascii="Times New Roman" w:hAnsi="Times New Roman"/>
          <w:color w:val="000000"/>
          <w:sz w:val="24"/>
          <w:u w:val="single"/>
        </w:rPr>
        <w:t>Integration; Binding Effect; Survival of Termination</w:t>
      </w:r>
      <w:r>
        <w:rPr>
          <w:rFonts w:ascii="Times New Roman" w:hAnsi="Times New Roman"/>
          <w:color w:val="000000"/>
          <w:sz w:val="24"/>
        </w:rPr>
        <w:t xml:space="preserve">. This Agreement and the other Transaction Documents contain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 This Agreement shall be binding upon and inure to the benefit of the parties hereto and their respective successors and permitted assigns. This Agreement shall create and constitute the continuing obligations of the parties hereto in accordance with its terms and shall remain in full force and effect until the Final Payout Date;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provisions of </w:t>
      </w:r>
      <w:r>
        <w:rPr>
          <w:rFonts w:ascii="Times New Roman" w:hAnsi="Times New Roman"/>
          <w:color w:val="000000"/>
          <w:sz w:val="24"/>
          <w:u w:val="single"/>
        </w:rPr>
        <w:t>Section 4.01</w:t>
      </w:r>
      <w:r>
        <w:rPr>
          <w:rFonts w:ascii="Times New Roman" w:hAnsi="Times New Roman"/>
          <w:color w:val="000000"/>
          <w:sz w:val="24"/>
        </w:rPr>
        <w:t xml:space="preserve">, </w:t>
      </w:r>
      <w:r>
        <w:rPr>
          <w:rFonts w:ascii="Times New Roman" w:hAnsi="Times New Roman"/>
          <w:color w:val="000000"/>
          <w:sz w:val="24"/>
          <w:u w:val="single"/>
        </w:rPr>
        <w:t>Section 4.02</w:t>
      </w:r>
      <w:r>
        <w:rPr>
          <w:rFonts w:ascii="Times New Roman" w:hAnsi="Times New Roman"/>
          <w:color w:val="000000"/>
          <w:sz w:val="24"/>
        </w:rPr>
        <w:t xml:space="preserve">, </w:t>
      </w:r>
      <w:r>
        <w:rPr>
          <w:rFonts w:ascii="Times New Roman" w:hAnsi="Times New Roman"/>
          <w:color w:val="000000"/>
          <w:sz w:val="24"/>
          <w:u w:val="single"/>
        </w:rPr>
        <w:t>Section 4.03</w:t>
      </w:r>
      <w:r>
        <w:rPr>
          <w:rFonts w:ascii="Times New Roman" w:hAnsi="Times New Roman"/>
          <w:color w:val="000000"/>
          <w:sz w:val="24"/>
        </w:rPr>
        <w:t xml:space="preserve">, </w:t>
      </w:r>
      <w:r>
        <w:rPr>
          <w:rFonts w:ascii="Times New Roman" w:hAnsi="Times New Roman"/>
          <w:color w:val="000000"/>
          <w:sz w:val="24"/>
          <w:u w:val="single"/>
        </w:rPr>
        <w:t>Section 8.04</w:t>
      </w:r>
      <w:r>
        <w:rPr>
          <w:rFonts w:ascii="Times New Roman" w:hAnsi="Times New Roman"/>
          <w:color w:val="000000"/>
          <w:sz w:val="24"/>
        </w:rPr>
        <w:t xml:space="preserve">, </w:t>
      </w:r>
      <w:r>
        <w:rPr>
          <w:rFonts w:ascii="Times New Roman" w:hAnsi="Times New Roman"/>
          <w:color w:val="000000"/>
          <w:sz w:val="24"/>
          <w:u w:val="single"/>
        </w:rPr>
        <w:t>Section 8.06</w:t>
      </w:r>
      <w:r>
        <w:rPr>
          <w:rFonts w:ascii="Times New Roman" w:hAnsi="Times New Roman"/>
          <w:color w:val="000000"/>
          <w:sz w:val="24"/>
        </w:rPr>
        <w:t xml:space="preserve">, </w:t>
      </w:r>
      <w:r>
        <w:rPr>
          <w:rFonts w:ascii="Times New Roman" w:hAnsi="Times New Roman"/>
          <w:color w:val="000000"/>
          <w:sz w:val="24"/>
          <w:u w:val="single"/>
        </w:rPr>
        <w:t>Section 9.04</w:t>
      </w:r>
      <w:r>
        <w:rPr>
          <w:rFonts w:ascii="Times New Roman" w:hAnsi="Times New Roman"/>
          <w:color w:val="000000"/>
          <w:sz w:val="24"/>
        </w:rPr>
        <w:t xml:space="preserve">, </w:t>
      </w:r>
      <w:r>
        <w:rPr>
          <w:rFonts w:ascii="Times New Roman" w:hAnsi="Times New Roman"/>
          <w:color w:val="000000"/>
          <w:sz w:val="24"/>
          <w:u w:val="single"/>
        </w:rPr>
        <w:t>Section 10.08</w:t>
      </w:r>
      <w:r>
        <w:rPr>
          <w:rFonts w:ascii="Times New Roman" w:hAnsi="Times New Roman"/>
          <w:color w:val="000000"/>
          <w:sz w:val="24"/>
        </w:rPr>
        <w:t xml:space="preserve">, </w:t>
      </w:r>
      <w:r>
        <w:rPr>
          <w:rFonts w:ascii="Times New Roman" w:hAnsi="Times New Roman"/>
          <w:color w:val="000000"/>
          <w:sz w:val="24"/>
          <w:u w:val="single"/>
        </w:rPr>
        <w:t>Section 10.09</w:t>
      </w:r>
      <w:r>
        <w:rPr>
          <w:rFonts w:ascii="Times New Roman" w:hAnsi="Times New Roman"/>
          <w:color w:val="000000"/>
          <w:sz w:val="24"/>
        </w:rPr>
        <w:t xml:space="preserve">, </w:t>
      </w:r>
      <w:r>
        <w:rPr>
          <w:rFonts w:ascii="Times New Roman" w:hAnsi="Times New Roman"/>
          <w:color w:val="000000"/>
          <w:sz w:val="24"/>
          <w:u w:val="single"/>
        </w:rPr>
        <w:t>Section 11.05</w:t>
      </w:r>
      <w:r>
        <w:rPr>
          <w:rFonts w:ascii="Times New Roman" w:hAnsi="Times New Roman"/>
          <w:color w:val="000000"/>
          <w:sz w:val="24"/>
        </w:rPr>
        <w:t xml:space="preserve">, </w:t>
      </w:r>
      <w:r>
        <w:rPr>
          <w:rFonts w:ascii="Times New Roman" w:hAnsi="Times New Roman"/>
          <w:color w:val="000000"/>
          <w:sz w:val="24"/>
          <w:u w:val="single"/>
        </w:rPr>
        <w:t>Section</w:t>
      </w:r>
      <w:r>
        <w:rPr>
          <w:rFonts w:ascii="Times New Roman" w:hAnsi="Times New Roman"/>
          <w:color w:val="000000"/>
          <w:sz w:val="24"/>
        </w:rPr>
        <w:t xml:space="preserve"> </w:t>
      </w:r>
      <w:r>
        <w:rPr>
          <w:rFonts w:ascii="Times New Roman" w:hAnsi="Times New Roman"/>
          <w:color w:val="000000"/>
          <w:sz w:val="24"/>
          <w:u w:val="single"/>
        </w:rPr>
        <w:t>11.06</w:t>
      </w:r>
      <w:r>
        <w:rPr>
          <w:rFonts w:ascii="Times New Roman" w:hAnsi="Times New Roman"/>
          <w:color w:val="000000"/>
          <w:sz w:val="24"/>
        </w:rPr>
        <w:t xml:space="preserve">, </w:t>
      </w:r>
      <w:r>
        <w:rPr>
          <w:rFonts w:ascii="Times New Roman" w:hAnsi="Times New Roman"/>
          <w:color w:val="000000"/>
          <w:sz w:val="24"/>
          <w:u w:val="single"/>
        </w:rPr>
        <w:t>Section 11.08</w:t>
      </w:r>
      <w:r>
        <w:rPr>
          <w:rFonts w:ascii="Times New Roman" w:hAnsi="Times New Roman"/>
          <w:color w:val="000000"/>
          <w:sz w:val="24"/>
        </w:rPr>
        <w:t xml:space="preserve">, and </w:t>
      </w:r>
      <w:r>
        <w:rPr>
          <w:rFonts w:ascii="Times New Roman" w:hAnsi="Times New Roman"/>
          <w:color w:val="000000"/>
          <w:sz w:val="24"/>
          <w:u w:val="single"/>
        </w:rPr>
        <w:t>Section 11.10</w:t>
      </w:r>
      <w:r>
        <w:rPr>
          <w:rFonts w:ascii="Times New Roman" w:hAnsi="Times New Roman"/>
          <w:color w:val="000000"/>
          <w:sz w:val="24"/>
        </w:rPr>
        <w:t xml:space="preserve"> shall survive any termination of this Agreement.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11.09. </w:t>
      </w:r>
      <w:r>
        <w:rPr>
          <w:rFonts w:ascii="Times New Roman" w:hAnsi="Times New Roman"/>
          <w:color w:val="000000"/>
          <w:sz w:val="24"/>
          <w:u w:val="single"/>
        </w:rPr>
        <w:t>Ratable Payments</w:t>
      </w:r>
      <w:r>
        <w:rPr>
          <w:rFonts w:ascii="Times New Roman" w:hAnsi="Times New Roman"/>
          <w:color w:val="000000"/>
          <w:sz w:val="24"/>
        </w:rPr>
        <w:t xml:space="preserve">. If any Purchaser Party, whether by setoff or otherwise, has payment made to it with respect to any Seller Obligations in a greater proportion than that received by any other Purchaser Party entitled to receive a ratable share of such Seller Obligations, such Purchaser Party agrees, promptly upon demand, to purchase for cash without recourse or warranty a portion of such Seller Obligations held by the other Purchaser Parties so that after such purchase each Purchaser Party will hold its ratable proportion of such Seller Obligations; </w:t>
      </w:r>
      <w:r>
        <w:rPr>
          <w:rFonts w:ascii="Times New Roman" w:hAnsi="Times New Roman"/>
          <w:color w:val="000000"/>
          <w:sz w:val="24"/>
          <w:u w:val="single"/>
        </w:rPr>
        <w:t>provided</w:t>
      </w:r>
      <w:r>
        <w:rPr>
          <w:rFonts w:ascii="Times New Roman" w:hAnsi="Times New Roman"/>
          <w:color w:val="000000"/>
          <w:sz w:val="24"/>
        </w:rPr>
        <w:t xml:space="preserve"> that if all or any portion of such excess amount is thereafter recovered from such Purchaser Party, such purchase shall be rescinded and the purchase price restored to the extent of such recovery, but without interest.</w:t>
      </w:r>
    </w:p>
    <w:p>
      <w:pPr>
        <w:pStyle w:val="TextBody"/>
        <w:bidi w:val="0"/>
        <w:spacing w:before="240" w:after="283"/>
        <w:jc w:val="left"/>
        <w:rPr>
          <w:rFonts w:ascii="Times New Roman" w:hAnsi="Times New Roman"/>
          <w:sz w:val="24"/>
        </w:rPr>
      </w:pPr>
      <w:r>
        <w:rPr>
          <w:rFonts w:ascii="Times New Roman" w:hAnsi="Times New Roman"/>
          <w:color w:val="000000"/>
          <w:sz w:val="24"/>
        </w:rPr>
        <w:t xml:space="preserve">Section 11.10. </w:t>
      </w:r>
      <w:r>
        <w:rPr>
          <w:rFonts w:ascii="Times New Roman" w:hAnsi="Times New Roman"/>
          <w:color w:val="000000"/>
          <w:sz w:val="24"/>
          <w:u w:val="single"/>
        </w:rPr>
        <w:t>Limitation of Liability</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No claim may be made by the Seller or any Affiliate thereof or any other Person against any Purchaser Party or their respective Affiliates, members, directors, officers, employees, incorporators, attorneys or agents for any special, indirect, consequential or punitive damages in respect of any claim for breach of contract or any other theory of liability arising out of or related to the transactions contemplated by this Agreement or any other Transaction Document, or any act, omission or event occurring in connection herewith or therewith; and each of the Seller and the Servicer hereby waives, releases, and agrees not to sue upon any claim for any such damages, whether or not accrued and whether or not known or suspected to exist in its favour. None of the Purchaser Parties and their respective Affiliates shall have any liability to the Seller or any Affiliate thereof or any other Person asserting claims on behalf of or in right of the Seller or any Affiliate thereof in connection with or as a result of this Agreement or any other Transaction Document or the transactions contemplated hereby or thereby, except to the extent that any losses, claims, damages, liabilities or expenses incurred by the Seller or any Affiliate thereof result from the breach of contract, gross negligence or willful misconduct of such Purchaser Party in performing its duties and obligations hereunder and under the other Transaction Documents to which it is a party.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The obligations of the Administrative Agent and each of the other Purchaser Parties under this Agreement and each of the Transaction Documents are solely the corporate obligations of such Person. No recourse shall be had for any obligation or claim arising out of or based upon this Agreement or any other Transaction Document against any member, director, officer, employee or incorporator of any such Person.</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11.11. </w:t>
      </w:r>
      <w:r>
        <w:rPr>
          <w:rFonts w:ascii="Times New Roman" w:hAnsi="Times New Roman"/>
          <w:color w:val="000000"/>
          <w:sz w:val="24"/>
          <w:u w:val="single"/>
        </w:rPr>
        <w:t>Intent of the Parties</w:t>
      </w:r>
      <w:r>
        <w:rPr>
          <w:rFonts w:ascii="Times New Roman" w:hAnsi="Times New Roman"/>
          <w:color w:val="000000"/>
          <w:sz w:val="24"/>
        </w:rPr>
        <w:t>. The Seller has structured this Agreement with the intention that the obligations of the Seller hereunder (including the obligation to return Capital to the Purchasers and make payments of Yield thereon) will be treated under United States federal and applicable state tax law as debt (the “</w:t>
      </w:r>
      <w:r>
        <w:rPr>
          <w:rFonts w:ascii="Times New Roman" w:hAnsi="Times New Roman"/>
          <w:color w:val="000000"/>
          <w:sz w:val="24"/>
          <w:u w:val="single"/>
        </w:rPr>
        <w:t>Intended Tax Treatment</w:t>
      </w:r>
      <w:r>
        <w:rPr>
          <w:rFonts w:ascii="Times New Roman" w:hAnsi="Times New Roman"/>
          <w:color w:val="000000"/>
          <w:sz w:val="24"/>
        </w:rPr>
        <w:t xml:space="preserve">”). The Seller, the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Servicer, the Administrative Agent and the other Purchaser Parties agree to file no tax return, or take any action, inconsistent with the Intended Tax Treatment unless required by law. Each assignee and each Participant acquiring an interest in an Investment or Issuance, by its acceptance of such assignment or participation, agrees to comply with the immediately preceding sentence.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11.12. </w:t>
      </w:r>
      <w:r>
        <w:rPr>
          <w:rFonts w:ascii="Times New Roman" w:hAnsi="Times New Roman"/>
          <w:color w:val="000000"/>
          <w:sz w:val="24"/>
          <w:u w:val="single"/>
        </w:rPr>
        <w:t>USA Patriot Act</w:t>
      </w:r>
      <w:r>
        <w:rPr>
          <w:rFonts w:ascii="Times New Roman" w:hAnsi="Times New Roman"/>
          <w:color w:val="000000"/>
          <w:sz w:val="24"/>
        </w:rPr>
        <w:t>. Each of the Administrative Agent and each of the other Purchaser Parties hereby notifies the Seller and the Servicer that pursuant to the requirements of the USA PATRIOT Act, Title III of Pub. L. 107-56 (signed into law October 26, 2001) (the “</w:t>
      </w:r>
      <w:r>
        <w:rPr>
          <w:rFonts w:ascii="Times New Roman" w:hAnsi="Times New Roman"/>
          <w:color w:val="000000"/>
          <w:sz w:val="24"/>
          <w:u w:val="single"/>
        </w:rPr>
        <w:t>PATRIOT Act</w:t>
      </w:r>
      <w:r>
        <w:rPr>
          <w:rFonts w:ascii="Times New Roman" w:hAnsi="Times New Roman"/>
          <w:color w:val="000000"/>
          <w:sz w:val="24"/>
        </w:rPr>
        <w:t>”), the Administrative Agent and the other Purchaser Parties may be required to obtain, verify and record information that identifies the Seller, the Originators, the Servicer and the Performance Guarantor, which information includes the name, address, tax identification number and other information regarding the Seller, the Originators, the Servicer and the Performance Guarantor that will allow the Administrative Agent and the other Purchaser Parties to identify the Seller, the Originators, the Servicer and the Performance Guarantor in accordance with the PATRIOT Act. This notice is given in accordance with the requirements of the PATRIOT Act. Each of the Seller and the Servicer agrees to provide the Administrative Agent and each other Purchaser Parties, from time to time, with all documentation and other information required by bank regulatory authorities under “know your customer” and anti-money laundering rules and regulations, including, without limitation, the PATRIOT Act.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11.13. </w:t>
      </w:r>
      <w:r>
        <w:rPr>
          <w:rFonts w:ascii="Times New Roman" w:hAnsi="Times New Roman"/>
          <w:color w:val="000000"/>
          <w:sz w:val="24"/>
          <w:u w:val="single"/>
        </w:rPr>
        <w:t>Right of Setoff</w:t>
      </w:r>
      <w:r>
        <w:rPr>
          <w:rFonts w:ascii="Times New Roman" w:hAnsi="Times New Roman"/>
          <w:color w:val="000000"/>
          <w:sz w:val="24"/>
        </w:rPr>
        <w:t>. Each of the Administrative Agent, each Group Agent and each Purchaser is hereby authorized (in addition to any other rights it may have) at any time after the occurrence of the Termination Date due to the occurrence and continuation of an Event of Termination, upon prior written notice to the Seller, to set-off, appropriate and apply (without presentment, demand, protest or other notice which are hereby expressly waived) any deposits and any other indebtedness held or owing by the Administrative Agent, such Group Agent or such Purchaser to, or for the account of, the Seller against the amount of the Seller Obligations owing by the Seller to such Person or to the Administrative Agent or such Group Agent on behalf of such Person (even if contingent or unmatured).</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11.14. </w:t>
      </w:r>
      <w:r>
        <w:rPr>
          <w:rFonts w:ascii="Times New Roman" w:hAnsi="Times New Roman"/>
          <w:color w:val="000000"/>
          <w:sz w:val="24"/>
          <w:u w:val="single"/>
        </w:rPr>
        <w:t>Severability</w:t>
      </w:r>
      <w:r>
        <w:rPr>
          <w:rFonts w:ascii="Times New Roman" w:hAnsi="Times New Roman"/>
          <w:color w:val="000000"/>
          <w:sz w:val="24"/>
        </w:rPr>
        <w:t>. Any provisions of this Agreement which are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11.15. </w:t>
      </w:r>
      <w:r>
        <w:rPr>
          <w:rFonts w:ascii="Times New Roman" w:hAnsi="Times New Roman"/>
          <w:color w:val="000000"/>
          <w:sz w:val="24"/>
          <w:u w:val="single"/>
        </w:rPr>
        <w:t>Mutual Negotiations</w:t>
      </w:r>
      <w:r>
        <w:rPr>
          <w:rFonts w:ascii="Times New Roman" w:hAnsi="Times New Roman"/>
          <w:color w:val="000000"/>
          <w:sz w:val="24"/>
        </w:rPr>
        <w:t>. This Agreement and the other Transaction Documents are the product of mutual negotiations by the parties thereto and their counsel, and no party shall be deemed the draftsperson of this Agreement or any other Transaction Document or any provision hereof or thereof or to have provided the same. Accordingly, in the event of any inconsistency or ambiguity of any provision of this Agreement or any other Transaction Document, such inconsistency or ambiguity shall not be interpreted against any party because of such party’s involvement in the drafting thereof.</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11.16. </w:t>
      </w:r>
      <w:r>
        <w:rPr>
          <w:rFonts w:ascii="Times New Roman" w:hAnsi="Times New Roman"/>
          <w:color w:val="000000"/>
          <w:sz w:val="24"/>
          <w:u w:val="single"/>
        </w:rPr>
        <w:t>Captions and Cross References</w:t>
      </w:r>
      <w:r>
        <w:rPr>
          <w:rFonts w:ascii="Times New Roman" w:hAnsi="Times New Roman"/>
          <w:color w:val="000000"/>
          <w:sz w:val="24"/>
        </w:rPr>
        <w:t xml:space="preserve">. The various captions (including the table of contents) in this Agreement are provided solely for convenience of reference and shall not affect the meaning or interpretation of any provision of this Agreement. Unless otherwise indicated, references in this Agreement to any Section, Schedule or Exhibit are to such Section Schedule or Exhibit to this Agreement, as the case may be, and references in any Section,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subsection, or clause to any subsection, clause or subclause are to such subsection, clause or subclause of such Section, subsection or clause.</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11.17. </w:t>
      </w:r>
      <w:r>
        <w:rPr>
          <w:rFonts w:ascii="Times New Roman" w:hAnsi="Times New Roman"/>
          <w:color w:val="000000"/>
          <w:sz w:val="24"/>
          <w:u w:val="single"/>
        </w:rPr>
        <w:t>Bail-in Action.</w:t>
      </w:r>
      <w:r>
        <w:rPr>
          <w:rFonts w:ascii="Times New Roman" w:hAnsi="Times New Roman"/>
          <w:color w:val="000000"/>
          <w:sz w:val="24"/>
        </w:rPr>
        <w:t xml:space="preserve"> Notwithstanding anything to the contrary in any Transaction Document or in any other agreement, arrangement or understanding among any such parties, each party hereto acknowledges that any liability of any Purchaser that is an Affected Financial Institution arising under any Transaction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the application of any Write-Down and Conversion Powers by the applicable Resolution Authority to any such liabilities arising hereunder which may be payable to it by any Purchaser that is an Affected Financial Institution;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the effects of any Bail-in Action on any such liability, including, if applicable: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a reduction in full or in part or cancellation of any such liability;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Transaction Document;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the variation of the terms of such liability in connection with the exercise of the Write-Down and Conversion Powers of the applicable Resolution Authority.</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11.18. </w:t>
      </w:r>
      <w:r>
        <w:rPr>
          <w:rFonts w:ascii="Times New Roman" w:hAnsi="Times New Roman"/>
          <w:color w:val="000000"/>
          <w:sz w:val="24"/>
          <w:u w:val="single"/>
        </w:rPr>
        <w:t>Judgment Currency</w:t>
      </w:r>
      <w:r>
        <w:rPr>
          <w:rFonts w:ascii="Times New Roman" w:hAnsi="Times New Roman"/>
          <w:color w:val="000000"/>
          <w:sz w:val="24"/>
        </w:rPr>
        <w:t xml:space="preserve"> If, for the purposes of obtaining judgment in any court, it is necessary to convert a sum due hereunder or any other Transaction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Seller Party in respect of any such sum due from it to the Administrative Agent or any Purchaser hereunder or under the other Transaction Documents shall, notwithstanding any judgment in a currency (the “</w:t>
      </w:r>
      <w:r>
        <w:rPr>
          <w:rFonts w:ascii="Times New Roman" w:hAnsi="Times New Roman"/>
          <w:color w:val="000000"/>
          <w:sz w:val="24"/>
          <w:u w:val="single"/>
        </w:rPr>
        <w:t>Judgment Currency</w:t>
      </w:r>
      <w:r>
        <w:rPr>
          <w:rFonts w:ascii="Times New Roman" w:hAnsi="Times New Roman"/>
          <w:color w:val="000000"/>
          <w:sz w:val="24"/>
        </w:rPr>
        <w:t>”) other than that in which such sum is denominated in accordance with the applicable provisions of this Agreement (the “</w:t>
      </w:r>
      <w:r>
        <w:rPr>
          <w:rFonts w:ascii="Times New Roman" w:hAnsi="Times New Roman"/>
          <w:color w:val="000000"/>
          <w:sz w:val="24"/>
          <w:u w:val="single"/>
        </w:rPr>
        <w:t>Agreement Currency</w:t>
      </w:r>
      <w:r>
        <w:rPr>
          <w:rFonts w:ascii="Times New Roman" w:hAnsi="Times New Roman"/>
          <w:color w:val="000000"/>
          <w:sz w:val="24"/>
        </w:rPr>
        <w:t xml:space="preserve">”), be discharged only to the extent that on the Business Day following receipt by the Administrative Agent or such Purchaser, as the case may be, of any sum adjudged to be so due in the Judgment Currency, the Administrative Agent or such Purchaser, as the case may be, may in accordance with normal banking procedures purchase the Agreement Currency with the Judgment Currency. If the amount of the Agreement Currency so purchased is less than the sum originally due to the Administrative Agent or any Purchaser from any Seller Party in the Agreement Currency, such Seller Party agrees, as a separate obligation and notwithstanding any such judgment, to indemnify the Administrative Agent or such Purchaser, as the case may be, against such loss. If the amount of the Agreement Currency so purchased is greater than the sum originally due to the Administrative Agent or any Purchaser in such currency, the Administrative Agent or such Purchaser, as the case may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be, agrees to return the amount of any excess to such Seller Party (or to any other Person who may be entitled thereto under Applicable law).</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11.19. </w:t>
      </w:r>
      <w:r>
        <w:rPr>
          <w:rFonts w:ascii="Times New Roman" w:hAnsi="Times New Roman"/>
          <w:color w:val="000000"/>
          <w:sz w:val="24"/>
          <w:u w:val="single"/>
        </w:rPr>
        <w:t>Third Party Rights</w:t>
      </w:r>
      <w:r>
        <w:rPr>
          <w:rFonts w:ascii="Times New Roman" w:hAnsi="Times New Roman"/>
          <w:color w:val="000000"/>
          <w:sz w:val="24"/>
        </w:rPr>
        <w:t>. Other than a Secured Party, a person who is not a party to this Agreement has no right under the Contracts (Rights of Third Parties) Act 1999 to enforce or to enjoy the benefit of any term of this Agreement.</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11.20. </w:t>
      </w:r>
      <w:r>
        <w:rPr>
          <w:rFonts w:ascii="Times New Roman" w:hAnsi="Times New Roman"/>
          <w:color w:val="000000"/>
          <w:sz w:val="24"/>
          <w:u w:val="single"/>
        </w:rPr>
        <w:t>Governing law and jurisdiction.</w:t>
      </w:r>
    </w:p>
    <w:p>
      <w:pPr>
        <w:pStyle w:val="TextBody"/>
        <w:bidi w:val="0"/>
        <w:spacing w:before="240" w:after="283"/>
        <w:jc w:val="both"/>
        <w:rPr>
          <w:rFonts w:ascii="Times New Roman" w:hAnsi="Times New Roman"/>
          <w:sz w:val="24"/>
        </w:rPr>
      </w:pPr>
      <w:r>
        <w:rPr>
          <w:rFonts w:ascii="Times New Roman" w:hAnsi="Times New Roman"/>
          <w:color w:val="000000"/>
          <w:sz w:val="24"/>
        </w:rPr>
        <w:t>(a) This Agreement, together with any non-contractual obligations arising out of or in connection with it, shall be governed and construed in accordance with the laws of England and Wales, save that Section 8.13 (</w:t>
      </w:r>
      <w:r>
        <w:rPr>
          <w:rFonts w:ascii="Times New Roman" w:hAnsi="Times New Roman"/>
          <w:i/>
          <w:color w:val="000000"/>
          <w:sz w:val="24"/>
        </w:rPr>
        <w:t>Administrative</w:t>
      </w:r>
      <w:r>
        <w:rPr>
          <w:rFonts w:ascii="Times New Roman" w:hAnsi="Times New Roman"/>
          <w:color w:val="000000"/>
          <w:sz w:val="24"/>
        </w:rPr>
        <w:t xml:space="preserve"> </w:t>
      </w:r>
      <w:r>
        <w:rPr>
          <w:rFonts w:ascii="Times New Roman" w:hAnsi="Times New Roman"/>
          <w:i/>
          <w:color w:val="000000"/>
          <w:sz w:val="24"/>
        </w:rPr>
        <w:t>Agent</w:t>
      </w:r>
      <w:r>
        <w:rPr>
          <w:rFonts w:ascii="Times New Roman" w:hAnsi="Times New Roman"/>
          <w:color w:val="000000"/>
          <w:sz w:val="24"/>
        </w:rPr>
        <w:t xml:space="preserve"> </w:t>
      </w:r>
      <w:r>
        <w:rPr>
          <w:rFonts w:ascii="Times New Roman" w:hAnsi="Times New Roman"/>
          <w:i/>
          <w:color w:val="000000"/>
          <w:sz w:val="24"/>
        </w:rPr>
        <w:t>holding</w:t>
      </w:r>
      <w:r>
        <w:rPr>
          <w:rFonts w:ascii="Times New Roman" w:hAnsi="Times New Roman"/>
          <w:color w:val="000000"/>
          <w:sz w:val="24"/>
        </w:rPr>
        <w:t xml:space="preserve"> </w:t>
      </w:r>
      <w:r>
        <w:rPr>
          <w:rFonts w:ascii="Times New Roman" w:hAnsi="Times New Roman"/>
          <w:i/>
          <w:color w:val="000000"/>
          <w:sz w:val="24"/>
        </w:rPr>
        <w:t>German</w:t>
      </w:r>
      <w:r>
        <w:rPr>
          <w:rFonts w:ascii="Times New Roman" w:hAnsi="Times New Roman"/>
          <w:color w:val="000000"/>
          <w:sz w:val="24"/>
        </w:rPr>
        <w:t xml:space="preserve"> </w:t>
      </w:r>
      <w:r>
        <w:rPr>
          <w:rFonts w:ascii="Times New Roman" w:hAnsi="Times New Roman"/>
          <w:i/>
          <w:color w:val="000000"/>
          <w:sz w:val="24"/>
        </w:rPr>
        <w:t>Collateral</w:t>
      </w:r>
      <w:r>
        <w:rPr>
          <w:rFonts w:ascii="Times New Roman" w:hAnsi="Times New Roman"/>
          <w:color w:val="000000"/>
          <w:sz w:val="24"/>
        </w:rPr>
        <w:t>) and Section 8.15 (</w:t>
      </w:r>
      <w:r>
        <w:rPr>
          <w:rFonts w:ascii="Times New Roman" w:hAnsi="Times New Roman"/>
          <w:i/>
          <w:color w:val="000000"/>
          <w:sz w:val="24"/>
        </w:rPr>
        <w:t>Abstract Acknowledgement of Parallel Obligations</w:t>
      </w:r>
      <w:r>
        <w:rPr>
          <w:rFonts w:ascii="Times New Roman" w:hAnsi="Times New Roman"/>
          <w:color w:val="000000"/>
          <w:sz w:val="24"/>
        </w:rPr>
        <w:t>) shall be governed and construed in accordance with German law.</w:t>
      </w:r>
    </w:p>
    <w:p>
      <w:pPr>
        <w:pStyle w:val="TextBody"/>
        <w:bidi w:val="0"/>
        <w:spacing w:before="240" w:after="283"/>
        <w:jc w:val="both"/>
        <w:rPr>
          <w:rFonts w:ascii="Times New Roman" w:hAnsi="Times New Roman"/>
          <w:sz w:val="24"/>
        </w:rPr>
      </w:pPr>
      <w:r>
        <w:rPr>
          <w:rFonts w:ascii="Times New Roman" w:hAnsi="Times New Roman"/>
          <w:color w:val="000000"/>
          <w:sz w:val="24"/>
        </w:rPr>
        <w:t>(b) (i) The courts of England and Wales have exclusive jurisdiction to settle any dispute arising out of or in connection with this Agreement (including any non-contractual obligations arising out of or in connection with the Agreement (a “</w:t>
      </w:r>
      <w:r>
        <w:rPr>
          <w:rFonts w:ascii="Times New Roman" w:hAnsi="Times New Roman"/>
          <w:color w:val="000000"/>
          <w:sz w:val="24"/>
          <w:u w:val="single"/>
        </w:rPr>
        <w:t>Dispute</w:t>
      </w:r>
      <w:r>
        <w:rPr>
          <w:rFonts w:ascii="Times New Roman" w:hAnsi="Times New Roman"/>
          <w:color w:val="000000"/>
          <w:sz w:val="24"/>
        </w:rPr>
        <w:t>”), (ii) the Parties agree that the courts of England and Wales are the most appropriate and convenient courts to settle Disputes and accordingly no party to this Agreement will argue to the contrary, and (iii) notwithstanding the foregoing, the Purchasers shall not be prevented from taking proceedings in relation to a Dispute in any other courts with jurisdiction. To the extent allowed by the law, the Purchasers may take concurrent proceedings in any number of jurisdictions.</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11.21. </w:t>
      </w:r>
      <w:r>
        <w:rPr>
          <w:rFonts w:ascii="Times New Roman" w:hAnsi="Times New Roman"/>
          <w:color w:val="000000"/>
          <w:sz w:val="24"/>
          <w:u w:val="single"/>
        </w:rPr>
        <w:t>EU Securitisation Regulation and UK Securitisation Framework</w:t>
      </w:r>
      <w:r>
        <w:rPr>
          <w:rFonts w:ascii="Times New Roman" w:hAnsi="Times New Roman"/>
          <w:color w:val="000000"/>
          <w:sz w:val="24"/>
        </w:rPr>
        <w:t>. Each of Ashland and the German Originator represents, warrants, covenants and agrees that, at all times prior to the Final Payout Date, that:</w:t>
      </w:r>
    </w:p>
    <w:p>
      <w:pPr>
        <w:pStyle w:val="TextBody"/>
        <w:bidi w:val="0"/>
        <w:spacing w:before="240" w:after="283"/>
        <w:jc w:val="both"/>
        <w:rPr>
          <w:rFonts w:ascii="Times New Roman" w:hAnsi="Times New Roman"/>
          <w:sz w:val="24"/>
        </w:rPr>
      </w:pPr>
      <w:r>
        <w:rPr>
          <w:rFonts w:ascii="Times New Roman" w:hAnsi="Times New Roman"/>
          <w:color w:val="000000"/>
          <w:sz w:val="24"/>
        </w:rPr>
        <w:t>(a) the German Originator, as originator for purposes of the EU Securitisation Regulation and the UK Securitisation Framework, shall retain and hold, on an ongoing basis, a material net economic interest in the Pool Receivables in an amount not less than 5% of the nominal value of the Pool Receivables in the form of a first loss tranche determined in accordance with sub-paragraph (d) of Article 6(3) of the EU Securitisation Regulation and SECN 5.2.8R(1) and Article 6(3) of Chapter 2 of the PRASR, which material economic interest shall be based upon the German Originator’s right to receive payments under the Subordinated Loan Agreement pursuant to Section 3.01(a)(the “</w:t>
      </w:r>
      <w:r>
        <w:rPr>
          <w:rFonts w:ascii="Times New Roman" w:hAnsi="Times New Roman"/>
          <w:color w:val="000000"/>
          <w:sz w:val="24"/>
          <w:u w:val="single"/>
        </w:rPr>
        <w:t>Retained Interest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the German Originator will not, and will not permit any of its Affiliates to, (i) change the manner or form in which it retains the Retained Interest or (ii) subject such Retained Interest to credit risk mitigation or any other hedge, or sell, transfer or otherwise surrender all or part of the rights, benefits or obligations arising from the Retained Interest, in a manner which would be contrary to the EU Securitisation Rules and the UK Securitisation Framework;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the German Originator has not been established nor does it operate for the sole purpose of securitizing the Receivables;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 neither the German Originator nor any other Originator shall select Receivables to be transferred to the Seller with the aim of rendering losses on the Receivables transferred to the Seller, measured over the life of the transaction, higher than the losses over the same period on comparable assets held on the balance sheet of the German Originator;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 the German Originator and the other Originators shall apply to Receivables to be securitized the same sound and well-defined criteria for credit-granting which they apply to non-securitised exposures. To that end, the same clearly established processes for approving and, where relevant, amending, renewing and refinancing credits shall be applied. The German Originator and the other Originators shall have effective systems in place to apply those criteria and processes in order to ensure that credit-granting is based on a thorough assessment of the obligor’s creditworthiness taking appropriate account of factors relevant to verifying the prospect of the obligor meeting its obligations under the relevant credit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 the Seller shall cooperate on a reasonable effort basis with ING Belgium SA/NV to provide any information required under the Article 7 of the EU Securitisation Regulation;</w:t>
      </w:r>
    </w:p>
    <w:p>
      <w:pPr>
        <w:pStyle w:val="TextBody"/>
        <w:bidi w:val="0"/>
        <w:spacing w:before="240" w:after="283"/>
        <w:jc w:val="both"/>
        <w:rPr>
          <w:rFonts w:ascii="Times New Roman" w:hAnsi="Times New Roman"/>
          <w:sz w:val="24"/>
        </w:rPr>
      </w:pPr>
      <w:r>
        <w:rPr>
          <w:rFonts w:ascii="Times New Roman" w:hAnsi="Times New Roman"/>
          <w:color w:val="000000"/>
          <w:sz w:val="24"/>
        </w:rPr>
        <w:t>(g) Seller hereby agrees to be designated as the entity required to fulfil the Transparency Requirements and agrees and undertakes to make available to the Purchasers, the Subordinated Lender, the competent authorities (as such term is defined in the EU Securitisation Regulation) and, upon request, potential Purchasers (the “</w:t>
      </w:r>
      <w:r>
        <w:rPr>
          <w:rFonts w:ascii="Times New Roman" w:hAnsi="Times New Roman"/>
          <w:color w:val="000000"/>
          <w:sz w:val="24"/>
          <w:u w:val="single"/>
        </w:rPr>
        <w:t>Relevant Recipients</w:t>
      </w:r>
      <w:r>
        <w:rPr>
          <w:rFonts w:ascii="Times New Roman" w:hAnsi="Times New Roman"/>
          <w:color w:val="000000"/>
          <w:sz w:val="24"/>
        </w:rPr>
        <w:t>”) the documents, reports and information necessary for (i) the Seller to fulfil any applicable reporting obligations under and in accordance with the Transparency Requirements; and (ii) the Relevant Recipients to fulfil any due diligence requirements under the EU Securitisation Regulation.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 Each of the parties hereto acknowledges that none of the Purchasers or the Administrative Agent shall be responsible for and shall have no obligation to assist any other party hereto in connection with compliance with any requirement of the EU Securitisation Regulation.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 the Seller shall notify the Central Bank of Ireland of the transaction described in the Transaction Documents no later than fifteen days after the Closing Date; and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(j) the German Originator is the “originator” for purposes of Article 6 of the EU Securitisation Regulation and Article 6 of Chapter 2 of the PRASR.</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Section 11.22. </w:t>
      </w:r>
      <w:r>
        <w:rPr>
          <w:rFonts w:ascii="Times New Roman" w:hAnsi="Times New Roman"/>
          <w:color w:val="000000"/>
          <w:sz w:val="24"/>
          <w:u w:val="single"/>
        </w:rPr>
        <w:t>Execution as a deed.</w:t>
      </w:r>
      <w:r>
        <w:rPr>
          <w:rFonts w:ascii="Times New Roman" w:hAnsi="Times New Roman"/>
          <w:color w:val="000000"/>
          <w:sz w:val="24"/>
        </w:rPr>
        <w:t xml:space="preserve"> This Agreement is intended to take effect as the deed of each party. </w:t>
      </w:r>
      <w:r>
        <w:rPr>
          <w:rFonts w:ascii="Times New Roman" w:hAnsi="Times New Roman"/>
          <w:color w:val="000000"/>
          <w:sz w:val="24"/>
          <w:u w:val="single"/>
        </w:rPr>
        <w:t xml:space="preserve">Agent for service. </w:t>
      </w:r>
      <w:r>
        <w:rPr>
          <w:rFonts w:ascii="Times New Roman" w:hAnsi="Times New Roman"/>
          <w:color w:val="000000"/>
          <w:sz w:val="24"/>
        </w:rPr>
        <w:t>Without prejudice to any mode of service allowed under any Applicable Law, each of Ashland, the Seller, the Servicer, the German Originator and the Parent: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irrevocably appoints Ashland Specialties UK Limited of 30 Old Bailey, London EC4M 7AU or, if different, its registered address as its agent of service of process in relation to any proceedings before the English courts in connection with this Agreement and/or any other Transaction Document governed by English law;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agrees that a failure by the process agent to notify it of the process will not invalidate the proceedings concerned.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(b) If the appointment by any of Ashland, the Seller, the Servicer and the Parent in Section 11.23(a)(i) ceases to be effective, it shall promptly appoint another agent in England as its agent for service of process in relation to any proceedings before the English courts in connection with this Agreement and/or any Transaction Document governed by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English law. If it fails to do so (and that failure continues for a period of not less than 15 Business Days), the Administrative Agent shall be permitted to appoint such a person by notice to Ashland, the Seller, the Servicer and/or the Parent.</w:t>
      </w:r>
    </w:p>
    <w:p>
      <w:pPr>
        <w:pStyle w:val="TextBody"/>
        <w:bidi w:val="0"/>
        <w:spacing w:before="240" w:after="283"/>
        <w:jc w:val="left"/>
        <w:rPr>
          <w:rFonts w:ascii="Times New Roman" w:hAnsi="Times New Roman"/>
          <w:sz w:val="24"/>
        </w:rPr>
      </w:pPr>
      <w:r>
        <w:rPr>
          <w:rFonts w:ascii="Times New Roman" w:hAnsi="Times New Roman"/>
          <w:color w:val="000000"/>
          <w:sz w:val="24"/>
        </w:rPr>
        <w:t>Section 11.24</w:t>
      </w:r>
      <w:r>
        <w:rPr>
          <w:rFonts w:ascii="Times New Roman" w:hAnsi="Times New Roman"/>
          <w:color w:val="000000"/>
          <w:sz w:val="24"/>
          <w:u w:val="single"/>
        </w:rPr>
        <w:t>.Bail-In Recognition</w:t>
      </w:r>
    </w:p>
    <w:p>
      <w:pPr>
        <w:pStyle w:val="TextBody"/>
        <w:bidi w:val="0"/>
        <w:spacing w:before="240" w:after="283"/>
        <w:jc w:val="both"/>
        <w:rPr>
          <w:rFonts w:ascii="Times New Roman" w:hAnsi="Times New Roman"/>
          <w:sz w:val="24"/>
        </w:rPr>
      </w:pPr>
      <w:r>
        <w:rPr>
          <w:rFonts w:ascii="Times New Roman" w:hAnsi="Times New Roman"/>
          <w:color w:val="000000"/>
          <w:sz w:val="24"/>
        </w:rPr>
        <w:t xml:space="preserve">Each of the parties hereto acknowledges and agrees that schedule 7 (Bail-in Recognition Provisions) of the Master Framework Agreement shall bind each of them as if set out in full herein </w:t>
      </w:r>
      <w:r>
        <w:rPr>
          <w:rFonts w:ascii="Times New Roman" w:hAnsi="Times New Roman"/>
          <w:i/>
          <w:color w:val="000000"/>
          <w:sz w:val="24"/>
        </w:rPr>
        <w:t>mutatis mutandis</w:t>
      </w:r>
      <w:r>
        <w:rPr>
          <w:rFonts w:ascii="Times New Roman" w:hAnsi="Times New Roman"/>
          <w:color w:val="000000"/>
          <w:sz w:val="24"/>
        </w:rPr>
        <w:t>.</w:t>
      </w:r>
    </w:p>
    <w:p>
      <w:pPr>
        <w:pStyle w:val="Heading2"/>
        <w:bidi w:val="0"/>
        <w:spacing w:before="240" w:after="283"/>
        <w:jc w:val="center"/>
        <w:rPr>
          <w:rFonts w:ascii="Times New Roman" w:hAnsi="Times New Roman"/>
          <w:color w:val="000000"/>
          <w:sz w:val="24"/>
        </w:rPr>
      </w:pPr>
      <w:r>
        <w:rPr>
          <w:rFonts w:ascii="Times New Roman" w:hAnsi="Times New Roman"/>
          <w:color w:val="000000"/>
          <w:sz w:val="24"/>
        </w:rPr>
        <w:t>[Signature Pages Follow]</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WITNESS WHEREOF, the parties have caused this Agreement to be executed as a deed by their respective officers thereunto duly authorized, as of the date first above written.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2"/>
        <w:bidi w:val="0"/>
        <w:jc w:val="left"/>
        <w:rPr>
          <w:rFonts w:ascii="Times New Roman" w:hAnsi="Times New Roman"/>
          <w:sz w:val="24"/>
        </w:rPr>
      </w:pPr>
      <w:r>
        <w:rPr>
          <w:rFonts w:ascii="Times New Roman" w:hAnsi="Times New Roman"/>
          <w:color w:val="000000"/>
          <w:sz w:val="24"/>
        </w:rPr>
        <w:t xml:space="preserve">SIGNED AND DELIVERED </w:t>
      </w:r>
      <w:r>
        <w:rPr>
          <w:rFonts w:ascii="Times New Roman" w:hAnsi="Times New Roman"/>
          <w:b w:val="false"/>
          <w:color w:val="000000"/>
          <w:sz w:val="24"/>
        </w:rPr>
        <w:t>as</w:t>
      </w:r>
      <w:r>
        <w:rPr>
          <w:rFonts w:ascii="Times New Roman" w:hAnsi="Times New Roman"/>
          <w:color w:val="000000"/>
          <w:sz w:val="24"/>
        </w:rPr>
        <w:t xml:space="preserve"> </w:t>
      </w:r>
      <w:r>
        <w:rPr>
          <w:rFonts w:ascii="Times New Roman" w:hAnsi="Times New Roman"/>
          <w:b w:val="false"/>
          <w:color w:val="000000"/>
          <w:sz w:val="24"/>
        </w:rPr>
        <w:t>a</w:t>
      </w:r>
      <w:r>
        <w:rPr>
          <w:rFonts w:ascii="Times New Roman" w:hAnsi="Times New Roman"/>
          <w:color w:val="000000"/>
          <w:sz w:val="24"/>
        </w:rPr>
        <w:t xml:space="preserve"> DEED</w:t>
      </w:r>
    </w:p>
    <w:p>
      <w:pPr>
        <w:pStyle w:val="TextBody"/>
        <w:bidi w:val="0"/>
        <w:jc w:val="left"/>
        <w:rPr>
          <w:rFonts w:ascii="Times New Roman" w:hAnsi="Times New Roman"/>
          <w:color w:val="000000"/>
          <w:sz w:val="24"/>
        </w:rPr>
      </w:pPr>
      <w:r>
        <w:rPr>
          <w:rFonts w:ascii="Times New Roman" w:hAnsi="Times New Roman"/>
          <w:color w:val="000000"/>
          <w:sz w:val="24"/>
        </w:rPr>
        <w:t>for and on behalf of</w:t>
      </w:r>
    </w:p>
    <w:p>
      <w:pPr>
        <w:pStyle w:val="Heading2"/>
        <w:bidi w:val="0"/>
        <w:jc w:val="left"/>
        <w:rPr>
          <w:rFonts w:ascii="Times New Roman" w:hAnsi="Times New Roman"/>
          <w:color w:val="000000"/>
          <w:sz w:val="24"/>
        </w:rPr>
      </w:pPr>
      <w:r>
        <w:rPr>
          <w:rFonts w:ascii="Times New Roman" w:hAnsi="Times New Roman"/>
          <w:color w:val="000000"/>
          <w:sz w:val="24"/>
        </w:rPr>
        <w:t>ASHLAND INTERNATIONAL RECEIVABLES</w:t>
      </w:r>
    </w:p>
    <w:p>
      <w:pPr>
        <w:pStyle w:val="Heading2"/>
        <w:bidi w:val="0"/>
        <w:jc w:val="left"/>
        <w:rPr>
          <w:rFonts w:ascii="Times New Roman" w:hAnsi="Times New Roman"/>
          <w:sz w:val="24"/>
        </w:rPr>
      </w:pPr>
      <w:r>
        <w:rPr>
          <w:rFonts w:ascii="Times New Roman" w:hAnsi="Times New Roman"/>
          <w:color w:val="000000"/>
          <w:sz w:val="24"/>
        </w:rPr>
        <w:t xml:space="preserve">DESIGNATED ACTIVITY COMPANY </w:t>
      </w:r>
      <w:r>
        <w:rPr>
          <w:rFonts w:ascii="Times New Roman" w:hAnsi="Times New Roman"/>
          <w:b w:val="false"/>
          <w:color w:val="000000"/>
          <w:sz w:val="24"/>
        </w:rPr>
        <w:t>as</w:t>
      </w:r>
      <w:r>
        <w:rPr>
          <w:rFonts w:ascii="Times New Roman" w:hAnsi="Times New Roman"/>
          <w:color w:val="000000"/>
          <w:sz w:val="24"/>
        </w:rPr>
        <w:t xml:space="preserve"> </w:t>
      </w:r>
      <w:r>
        <w:rPr>
          <w:rFonts w:ascii="Times New Roman" w:hAnsi="Times New Roman"/>
          <w:b w:val="false"/>
          <w:color w:val="000000"/>
          <w:sz w:val="24"/>
        </w:rPr>
        <w:t>the</w:t>
      </w:r>
      <w:r>
        <w:rPr>
          <w:rFonts w:ascii="Times New Roman" w:hAnsi="Times New Roman"/>
          <w:color w:val="000000"/>
          <w:sz w:val="24"/>
        </w:rPr>
        <w:t xml:space="preserve"> </w:t>
      </w:r>
      <w:r>
        <w:rPr>
          <w:rFonts w:ascii="Times New Roman" w:hAnsi="Times New Roman"/>
          <w:b w:val="false"/>
          <w:color w:val="000000"/>
          <w:sz w:val="24"/>
        </w:rPr>
        <w:t>Seller</w:t>
      </w:r>
    </w:p>
    <w:p>
      <w:pPr>
        <w:pStyle w:val="TextBody"/>
        <w:bidi w:val="0"/>
        <w:jc w:val="left"/>
        <w:rPr>
          <w:rFonts w:ascii="Times New Roman" w:hAnsi="Times New Roman"/>
          <w:color w:val="000000"/>
          <w:sz w:val="24"/>
        </w:rPr>
      </w:pPr>
      <w:r>
        <w:rPr>
          <w:rFonts w:ascii="Times New Roman" w:hAnsi="Times New Roman"/>
          <w:color w:val="000000"/>
          <w:sz w:val="24"/>
        </w:rPr>
        <w:t>by its lawfully appointed attorney</w:t>
      </w:r>
    </w:p>
    <w:p>
      <w:pPr>
        <w:pStyle w:val="TextBody"/>
        <w:bidi w:val="0"/>
        <w:jc w:val="left"/>
        <w:rPr>
          <w:rFonts w:ascii="Times New Roman" w:hAnsi="Times New Roman"/>
          <w:color w:val="000000"/>
          <w:sz w:val="24"/>
        </w:rPr>
      </w:pPr>
      <w:r>
        <w:rPr>
          <w:rFonts w:ascii="Times New Roman" w:hAnsi="Times New Roman"/>
          <w:color w:val="000000"/>
          <w:sz w:val="24"/>
        </w:rPr>
        <w:t>in the presence of:</w:t>
      </w:r>
    </w:p>
    <w:p>
      <w:pPr>
        <w:pStyle w:val="TextBody"/>
        <w:bidi w:val="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pBdr>
                <w:top w:val="single" w:sz="6" w:space="1" w:color="000000"/>
              </w:pBdr>
              <w:bidi w:val="0"/>
              <w:spacing w:before="0" w:after="283"/>
              <w:jc w:val="right"/>
              <w:rPr>
                <w:rFonts w:ascii="Times New Roman" w:hAnsi="Times New Roman"/>
                <w:color w:val="000000"/>
                <w:sz w:val="24"/>
              </w:rPr>
            </w:pPr>
            <w:r>
              <w:rPr>
                <w:rFonts w:ascii="Times New Roman" w:hAnsi="Times New Roman"/>
                <w:color w:val="000000"/>
                <w:sz w:val="24"/>
              </w:rPr>
              <w:t>Attorney signature</w:t>
            </w:r>
          </w:p>
        </w:tc>
      </w:tr>
      <w:tr>
        <w:trPr/>
        <w:tc>
          <w:tcPr>
            <w:tcW w:w="208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tcMar>
              <w:top w:w="0" w:type="dxa"/>
              <w:left w:w="0" w:type="dxa"/>
              <w:bottom w:w="0" w:type="dxa"/>
              <w:right w:w="0" w:type="dxa"/>
            </w:tcMar>
            <w:vAlign w:val="center"/>
          </w:tcPr>
          <w:p>
            <w:pPr>
              <w:pStyle w:val="TableContents"/>
              <w:pBdr>
                <w:top w:val="single" w:sz="6" w:space="1" w:color="000000"/>
              </w:pBdr>
              <w:bidi w:val="0"/>
              <w:spacing w:before="0" w:after="283"/>
              <w:jc w:val="right"/>
              <w:rPr>
                <w:rFonts w:ascii="Times New Roman" w:hAnsi="Times New Roman"/>
                <w:color w:val="000000"/>
                <w:sz w:val="24"/>
              </w:rPr>
            </w:pPr>
            <w:r>
              <w:rPr>
                <w:rFonts w:ascii="Times New Roman" w:hAnsi="Times New Roman"/>
                <w:color w:val="000000"/>
                <w:sz w:val="24"/>
              </w:rPr>
              <w:t>Print Attorney name</w:t>
            </w:r>
          </w:p>
        </w:tc>
      </w:tr>
    </w:tbl>
    <w:p>
      <w:pPr>
        <w:pStyle w:val="TextBody"/>
        <w:bidi w:val="0"/>
        <w:spacing w:before="63" w:after="283"/>
        <w:jc w:val="left"/>
        <w:rPr/>
      </w:pPr>
      <w:r>
        <w:rPr/>
        <w:t> </w:t>
      </w:r>
    </w:p>
    <w:p>
      <w:pPr>
        <w:pStyle w:val="TextBody"/>
        <w:bidi w:val="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283"/>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tcMar>
              <w:top w:w="0" w:type="dxa"/>
              <w:left w:w="0" w:type="dxa"/>
              <w:bottom w:w="0" w:type="dxa"/>
              <w:right w:w="0" w:type="dxa"/>
            </w:tcMar>
            <w:vAlign w:val="center"/>
          </w:tcPr>
          <w:p>
            <w:pPr>
              <w:pStyle w:val="TableContents"/>
              <w:pBdr>
                <w:top w:val="single" w:sz="6" w:space="1" w:color="000000"/>
              </w:pBdr>
              <w:bidi w:val="0"/>
              <w:spacing w:before="0" w:after="283"/>
              <w:jc w:val="left"/>
              <w:rPr>
                <w:rFonts w:ascii="Times New Roman" w:hAnsi="Times New Roman"/>
                <w:color w:val="000000"/>
                <w:sz w:val="24"/>
              </w:rPr>
            </w:pPr>
            <w:r>
              <w:rPr>
                <w:rFonts w:ascii="Times New Roman" w:hAnsi="Times New Roman"/>
                <w:color w:val="000000"/>
                <w:sz w:val="24"/>
              </w:rPr>
              <w:t>(Witness’ Signature)</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tcMar>
              <w:top w:w="0" w:type="dxa"/>
              <w:left w:w="0" w:type="dxa"/>
              <w:bottom w:w="0" w:type="dxa"/>
              <w:right w:w="0" w:type="dxa"/>
            </w:tcMar>
            <w:vAlign w:val="center"/>
          </w:tcPr>
          <w:p>
            <w:pPr>
              <w:pStyle w:val="TableContents"/>
              <w:pBdr>
                <w:top w:val="single" w:sz="6" w:space="1" w:color="000000"/>
              </w:pBdr>
              <w:bidi w:val="0"/>
              <w:spacing w:before="0" w:after="283"/>
              <w:jc w:val="left"/>
              <w:rPr>
                <w:rFonts w:ascii="Times New Roman" w:hAnsi="Times New Roman"/>
                <w:color w:val="000000"/>
                <w:sz w:val="24"/>
              </w:rPr>
            </w:pPr>
            <w:r>
              <w:rPr>
                <w:rFonts w:ascii="Times New Roman" w:hAnsi="Times New Roman"/>
                <w:color w:val="000000"/>
                <w:sz w:val="24"/>
              </w:rPr>
              <w:t>(Witness’ Name)</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tcMar>
              <w:top w:w="0" w:type="dxa"/>
              <w:left w:w="0" w:type="dxa"/>
              <w:bottom w:w="0" w:type="dxa"/>
              <w:right w:w="0" w:type="dxa"/>
            </w:tcMar>
            <w:vAlign w:val="center"/>
          </w:tcPr>
          <w:p>
            <w:pPr>
              <w:pStyle w:val="TableContents"/>
              <w:pBdr>
                <w:top w:val="single" w:sz="6" w:space="1" w:color="000000"/>
              </w:pBdr>
              <w:bidi w:val="0"/>
              <w:spacing w:before="0" w:after="283"/>
              <w:jc w:val="left"/>
              <w:rPr>
                <w:rFonts w:ascii="Times New Roman" w:hAnsi="Times New Roman"/>
                <w:color w:val="000000"/>
                <w:sz w:val="24"/>
              </w:rPr>
            </w:pPr>
            <w:r>
              <w:rPr>
                <w:rFonts w:ascii="Times New Roman" w:hAnsi="Times New Roman"/>
                <w:color w:val="000000"/>
                <w:sz w:val="24"/>
              </w:rPr>
              <w:t>(Witness’ Address)</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tcMar>
              <w:top w:w="0" w:type="dxa"/>
              <w:left w:w="0" w:type="dxa"/>
              <w:bottom w:w="0" w:type="dxa"/>
              <w:right w:w="0" w:type="dxa"/>
            </w:tcMar>
            <w:vAlign w:val="center"/>
          </w:tcPr>
          <w:p>
            <w:pPr>
              <w:pStyle w:val="TableContents"/>
              <w:pBdr>
                <w:top w:val="single" w:sz="6" w:space="1" w:color="000000"/>
              </w:pBdr>
              <w:bidi w:val="0"/>
              <w:spacing w:before="0" w:after="283"/>
              <w:jc w:val="left"/>
              <w:rPr>
                <w:rFonts w:ascii="Times New Roman" w:hAnsi="Times New Roman"/>
                <w:color w:val="000000"/>
                <w:sz w:val="24"/>
              </w:rPr>
            </w:pPr>
            <w:r>
              <w:rPr>
                <w:rFonts w:ascii="Times New Roman" w:hAnsi="Times New Roman"/>
                <w:color w:val="000000"/>
                <w:sz w:val="24"/>
              </w:rPr>
              <w:t>(Witness’ Occupation)</w:t>
            </w:r>
          </w:p>
        </w:tc>
      </w:tr>
    </w:tbl>
    <w:p>
      <w:pPr>
        <w:pStyle w:val="TextBody"/>
        <w:bidi w:val="0"/>
        <w:spacing w:before="63" w:after="283"/>
        <w:jc w:val="left"/>
        <w:rPr/>
      </w:pPr>
      <w:r>
        <w:rPr/>
        <w:t> </w:t>
      </w:r>
    </w:p>
    <w:p>
      <w:pPr>
        <w:pStyle w:val="TextBody"/>
        <w:bidi w:val="0"/>
        <w:jc w:val="left"/>
        <w:rPr/>
      </w:pPr>
      <w:r>
        <w:rPr/>
        <w:t> </w:t>
      </w:r>
    </w:p>
    <w:tbl>
      <w:tblPr>
        <w:tblW w:w="3448" w:type="dxa"/>
        <w:jc w:val="left"/>
        <w:tblInd w:w="0" w:type="dxa"/>
        <w:tblLayout w:type="fixed"/>
        <w:tblCellMar>
          <w:top w:w="28" w:type="dxa"/>
          <w:left w:w="28" w:type="dxa"/>
          <w:bottom w:w="28" w:type="dxa"/>
          <w:right w:w="28" w:type="dxa"/>
        </w:tblCellMar>
      </w:tblPr>
      <w:tblGrid>
        <w:gridCol w:w="161"/>
        <w:gridCol w:w="436"/>
        <w:gridCol w:w="2851"/>
      </w:tblGrid>
      <w:tr>
        <w:trPr/>
        <w:tc>
          <w:tcPr>
            <w:tcW w:w="1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S-1</w:t>
            </w:r>
          </w:p>
        </w:tc>
        <w:tc>
          <w:tcPr>
            <w:tcW w:w="28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Receivables Purchase Agreement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left"/>
        <w:rPr>
          <w:rFonts w:ascii="Times New Roman" w:hAnsi="Times New Roman"/>
          <w:sz w:val="24"/>
        </w:rPr>
      </w:pPr>
      <w:r>
        <w:rPr>
          <w:rFonts w:ascii="Times New Roman" w:hAnsi="Times New Roman"/>
          <w:color w:val="000000"/>
          <w:sz w:val="24"/>
        </w:rPr>
        <w:t xml:space="preserve">SIGNED AND DELIVERED </w:t>
      </w:r>
      <w:r>
        <w:rPr>
          <w:rFonts w:ascii="Times New Roman" w:hAnsi="Times New Roman"/>
          <w:b w:val="false"/>
          <w:color w:val="000000"/>
          <w:sz w:val="24"/>
        </w:rPr>
        <w:t>as</w:t>
      </w:r>
      <w:r>
        <w:rPr>
          <w:rFonts w:ascii="Times New Roman" w:hAnsi="Times New Roman"/>
          <w:color w:val="000000"/>
          <w:sz w:val="24"/>
        </w:rPr>
        <w:t xml:space="preserve"> </w:t>
      </w:r>
      <w:r>
        <w:rPr>
          <w:rFonts w:ascii="Times New Roman" w:hAnsi="Times New Roman"/>
          <w:b w:val="false"/>
          <w:color w:val="000000"/>
          <w:sz w:val="24"/>
        </w:rPr>
        <w:t>a</w:t>
      </w:r>
      <w:r>
        <w:rPr>
          <w:rFonts w:ascii="Times New Roman" w:hAnsi="Times New Roman"/>
          <w:color w:val="000000"/>
          <w:sz w:val="24"/>
        </w:rPr>
        <w:t xml:space="preserve"> DEED</w:t>
      </w:r>
    </w:p>
    <w:p>
      <w:pPr>
        <w:pStyle w:val="TextBody"/>
        <w:bidi w:val="0"/>
        <w:jc w:val="left"/>
        <w:rPr>
          <w:rFonts w:ascii="Times New Roman" w:hAnsi="Times New Roman"/>
          <w:color w:val="000000"/>
          <w:sz w:val="24"/>
        </w:rPr>
      </w:pPr>
      <w:r>
        <w:rPr>
          <w:rFonts w:ascii="Times New Roman" w:hAnsi="Times New Roman"/>
          <w:color w:val="000000"/>
          <w:sz w:val="24"/>
        </w:rPr>
        <w:t>for and on behalf of</w:t>
      </w:r>
    </w:p>
    <w:p>
      <w:pPr>
        <w:pStyle w:val="TextBody"/>
        <w:bidi w:val="0"/>
        <w:jc w:val="left"/>
        <w:rPr>
          <w:rFonts w:ascii="Times New Roman" w:hAnsi="Times New Roman"/>
          <w:sz w:val="24"/>
        </w:rPr>
      </w:pPr>
      <w:r>
        <w:rPr>
          <w:rFonts w:ascii="Times New Roman" w:hAnsi="Times New Roman"/>
          <w:b/>
          <w:color w:val="000000"/>
          <w:sz w:val="24"/>
        </w:rPr>
        <w:t>ASHLAND</w:t>
      </w:r>
      <w:r>
        <w:rPr>
          <w:rFonts w:ascii="Times New Roman" w:hAnsi="Times New Roman"/>
          <w:color w:val="000000"/>
          <w:sz w:val="24"/>
        </w:rPr>
        <w:t xml:space="preserve"> </w:t>
      </w:r>
      <w:r>
        <w:rPr>
          <w:rFonts w:ascii="Times New Roman" w:hAnsi="Times New Roman"/>
          <w:b/>
          <w:color w:val="000000"/>
          <w:sz w:val="24"/>
        </w:rPr>
        <w:t>SPECIALTIES</w:t>
      </w:r>
      <w:r>
        <w:rPr>
          <w:rFonts w:ascii="Times New Roman" w:hAnsi="Times New Roman"/>
          <w:color w:val="000000"/>
          <w:sz w:val="24"/>
        </w:rPr>
        <w:t xml:space="preserve"> </w:t>
      </w:r>
      <w:r>
        <w:rPr>
          <w:rFonts w:ascii="Times New Roman" w:hAnsi="Times New Roman"/>
          <w:b/>
          <w:color w:val="000000"/>
          <w:sz w:val="24"/>
        </w:rPr>
        <w:t>IRELAND</w:t>
      </w:r>
      <w:r>
        <w:rPr>
          <w:rFonts w:ascii="Times New Roman" w:hAnsi="Times New Roman"/>
          <w:color w:val="000000"/>
          <w:sz w:val="24"/>
        </w:rPr>
        <w:t xml:space="preserve"> </w:t>
      </w:r>
      <w:r>
        <w:rPr>
          <w:rFonts w:ascii="Times New Roman" w:hAnsi="Times New Roman"/>
          <w:b/>
          <w:color w:val="000000"/>
          <w:sz w:val="24"/>
        </w:rPr>
        <w:t>LIMITED</w:t>
      </w:r>
      <w:r>
        <w:rPr>
          <w:rFonts w:ascii="Times New Roman" w:hAnsi="Times New Roman"/>
          <w:color w:val="000000"/>
          <w:sz w:val="24"/>
        </w:rPr>
        <w:t xml:space="preserve"> as the Servicer and the Parent</w:t>
      </w:r>
    </w:p>
    <w:p>
      <w:pPr>
        <w:pStyle w:val="TextBody"/>
        <w:bidi w:val="0"/>
        <w:jc w:val="left"/>
        <w:rPr>
          <w:rFonts w:ascii="Times New Roman" w:hAnsi="Times New Roman"/>
          <w:color w:val="000000"/>
          <w:sz w:val="24"/>
        </w:rPr>
      </w:pPr>
      <w:r>
        <w:rPr>
          <w:rFonts w:ascii="Times New Roman" w:hAnsi="Times New Roman"/>
          <w:color w:val="000000"/>
          <w:sz w:val="24"/>
        </w:rPr>
        <w:t>by its lawfully appointed attorney</w:t>
      </w:r>
    </w:p>
    <w:p>
      <w:pPr>
        <w:pStyle w:val="TextBody"/>
        <w:bidi w:val="0"/>
        <w:jc w:val="left"/>
        <w:rPr>
          <w:rFonts w:ascii="Times New Roman" w:hAnsi="Times New Roman"/>
          <w:color w:val="000000"/>
          <w:sz w:val="24"/>
        </w:rPr>
      </w:pPr>
      <w:r>
        <w:rPr>
          <w:rFonts w:ascii="Times New Roman" w:hAnsi="Times New Roman"/>
          <w:color w:val="000000"/>
          <w:sz w:val="24"/>
        </w:rPr>
        <w:t>in the presence of:</w:t>
      </w:r>
    </w:p>
    <w:p>
      <w:pPr>
        <w:pStyle w:val="TextBody"/>
        <w:bidi w:val="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pBdr>
                <w:top w:val="single" w:sz="6" w:space="1" w:color="000000"/>
              </w:pBdr>
              <w:bidi w:val="0"/>
              <w:spacing w:before="0" w:after="283"/>
              <w:jc w:val="right"/>
              <w:rPr>
                <w:rFonts w:ascii="Times New Roman" w:hAnsi="Times New Roman"/>
                <w:color w:val="000000"/>
                <w:sz w:val="24"/>
              </w:rPr>
            </w:pPr>
            <w:r>
              <w:rPr>
                <w:rFonts w:ascii="Times New Roman" w:hAnsi="Times New Roman"/>
                <w:color w:val="000000"/>
                <w:sz w:val="24"/>
              </w:rPr>
              <w:t>Attorney signature</w:t>
            </w:r>
          </w:p>
        </w:tc>
      </w:tr>
      <w:tr>
        <w:trPr/>
        <w:tc>
          <w:tcPr>
            <w:tcW w:w="208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tcMar>
              <w:top w:w="0" w:type="dxa"/>
              <w:left w:w="0" w:type="dxa"/>
              <w:bottom w:w="0" w:type="dxa"/>
              <w:right w:w="0" w:type="dxa"/>
            </w:tcMar>
            <w:vAlign w:val="center"/>
          </w:tcPr>
          <w:p>
            <w:pPr>
              <w:pStyle w:val="TableContents"/>
              <w:pBdr>
                <w:top w:val="single" w:sz="6" w:space="1" w:color="000000"/>
              </w:pBdr>
              <w:bidi w:val="0"/>
              <w:spacing w:before="0" w:after="283"/>
              <w:jc w:val="right"/>
              <w:rPr>
                <w:rFonts w:ascii="Times New Roman" w:hAnsi="Times New Roman"/>
                <w:color w:val="000000"/>
                <w:sz w:val="24"/>
              </w:rPr>
            </w:pPr>
            <w:r>
              <w:rPr>
                <w:rFonts w:ascii="Times New Roman" w:hAnsi="Times New Roman"/>
                <w:color w:val="000000"/>
                <w:sz w:val="24"/>
              </w:rPr>
              <w:t>Print Attorney name</w:t>
            </w:r>
          </w:p>
        </w:tc>
      </w:tr>
    </w:tbl>
    <w:p>
      <w:pPr>
        <w:pStyle w:val="TextBody"/>
        <w:bidi w:val="0"/>
        <w:jc w:val="left"/>
        <w:rPr/>
      </w:pPr>
      <w:r>
        <w:rPr/>
        <w:t> </w:t>
      </w:r>
    </w:p>
    <w:p>
      <w:pPr>
        <w:pStyle w:val="TextBody"/>
        <w:bidi w:val="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283"/>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tcMar>
              <w:top w:w="0" w:type="dxa"/>
              <w:left w:w="0" w:type="dxa"/>
              <w:bottom w:w="0" w:type="dxa"/>
              <w:right w:w="0" w:type="dxa"/>
            </w:tcMar>
            <w:vAlign w:val="center"/>
          </w:tcPr>
          <w:p>
            <w:pPr>
              <w:pStyle w:val="TableContents"/>
              <w:pBdr>
                <w:top w:val="single" w:sz="6" w:space="1" w:color="000000"/>
              </w:pBdr>
              <w:bidi w:val="0"/>
              <w:spacing w:before="0" w:after="283"/>
              <w:jc w:val="left"/>
              <w:rPr>
                <w:rFonts w:ascii="Times New Roman" w:hAnsi="Times New Roman"/>
                <w:color w:val="000000"/>
                <w:sz w:val="24"/>
              </w:rPr>
            </w:pPr>
            <w:r>
              <w:rPr>
                <w:rFonts w:ascii="Times New Roman" w:hAnsi="Times New Roman"/>
                <w:color w:val="000000"/>
                <w:sz w:val="24"/>
              </w:rPr>
              <w:t>(Witness’ Signature)</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tcMar>
              <w:top w:w="0" w:type="dxa"/>
              <w:left w:w="0" w:type="dxa"/>
              <w:bottom w:w="0" w:type="dxa"/>
              <w:right w:w="0" w:type="dxa"/>
            </w:tcMar>
            <w:vAlign w:val="center"/>
          </w:tcPr>
          <w:p>
            <w:pPr>
              <w:pStyle w:val="TableContents"/>
              <w:pBdr>
                <w:top w:val="single" w:sz="6" w:space="1" w:color="000000"/>
              </w:pBdr>
              <w:bidi w:val="0"/>
              <w:spacing w:before="0" w:after="283"/>
              <w:jc w:val="left"/>
              <w:rPr>
                <w:rFonts w:ascii="Times New Roman" w:hAnsi="Times New Roman"/>
                <w:color w:val="000000"/>
                <w:sz w:val="24"/>
              </w:rPr>
            </w:pPr>
            <w:r>
              <w:rPr>
                <w:rFonts w:ascii="Times New Roman" w:hAnsi="Times New Roman"/>
                <w:color w:val="000000"/>
                <w:sz w:val="24"/>
              </w:rPr>
              <w:t>(Witness’ Name)</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tcMar>
              <w:top w:w="0" w:type="dxa"/>
              <w:left w:w="0" w:type="dxa"/>
              <w:bottom w:w="0" w:type="dxa"/>
              <w:right w:w="0" w:type="dxa"/>
            </w:tcMar>
            <w:vAlign w:val="center"/>
          </w:tcPr>
          <w:p>
            <w:pPr>
              <w:pStyle w:val="TableContents"/>
              <w:pBdr>
                <w:top w:val="single" w:sz="6" w:space="1" w:color="000000"/>
              </w:pBdr>
              <w:bidi w:val="0"/>
              <w:spacing w:before="0" w:after="283"/>
              <w:jc w:val="left"/>
              <w:rPr>
                <w:rFonts w:ascii="Times New Roman" w:hAnsi="Times New Roman"/>
                <w:color w:val="000000"/>
                <w:sz w:val="24"/>
              </w:rPr>
            </w:pPr>
            <w:r>
              <w:rPr>
                <w:rFonts w:ascii="Times New Roman" w:hAnsi="Times New Roman"/>
                <w:color w:val="000000"/>
                <w:sz w:val="24"/>
              </w:rPr>
              <w:t>(Witness’ Address)</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tcMar>
              <w:top w:w="0" w:type="dxa"/>
              <w:left w:w="0" w:type="dxa"/>
              <w:bottom w:w="0" w:type="dxa"/>
              <w:right w:w="0" w:type="dxa"/>
            </w:tcMar>
            <w:vAlign w:val="center"/>
          </w:tcPr>
          <w:p>
            <w:pPr>
              <w:pStyle w:val="TableContents"/>
              <w:pBdr>
                <w:top w:val="single" w:sz="6" w:space="1" w:color="000000"/>
              </w:pBdr>
              <w:bidi w:val="0"/>
              <w:spacing w:before="0" w:after="283"/>
              <w:jc w:val="left"/>
              <w:rPr>
                <w:rFonts w:ascii="Times New Roman" w:hAnsi="Times New Roman"/>
                <w:color w:val="000000"/>
                <w:sz w:val="24"/>
              </w:rPr>
            </w:pPr>
            <w:r>
              <w:rPr>
                <w:rFonts w:ascii="Times New Roman" w:hAnsi="Times New Roman"/>
                <w:color w:val="000000"/>
                <w:sz w:val="24"/>
              </w:rPr>
              <w:t>(Witness’ Occupation)</w:t>
            </w:r>
          </w:p>
        </w:tc>
      </w:tr>
    </w:tbl>
    <w:p>
      <w:pPr>
        <w:pStyle w:val="TextBody"/>
        <w:bidi w:val="0"/>
        <w:jc w:val="both"/>
        <w:rPr/>
      </w:pPr>
      <w:r>
        <w:rPr/>
        <w:t> </w:t>
      </w:r>
    </w:p>
    <w:p>
      <w:pPr>
        <w:pStyle w:val="TextBody"/>
        <w:bidi w:val="0"/>
        <w:jc w:val="left"/>
        <w:rPr/>
      </w:pPr>
      <w:r>
        <w:rPr/>
        <w:t> </w:t>
      </w:r>
    </w:p>
    <w:tbl>
      <w:tblPr>
        <w:tblW w:w="3448" w:type="dxa"/>
        <w:jc w:val="left"/>
        <w:tblInd w:w="0" w:type="dxa"/>
        <w:tblLayout w:type="fixed"/>
        <w:tblCellMar>
          <w:top w:w="28" w:type="dxa"/>
          <w:left w:w="28" w:type="dxa"/>
          <w:bottom w:w="28" w:type="dxa"/>
          <w:right w:w="28" w:type="dxa"/>
        </w:tblCellMar>
      </w:tblPr>
      <w:tblGrid>
        <w:gridCol w:w="161"/>
        <w:gridCol w:w="436"/>
        <w:gridCol w:w="2851"/>
      </w:tblGrid>
      <w:tr>
        <w:trPr/>
        <w:tc>
          <w:tcPr>
            <w:tcW w:w="1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S-2</w:t>
            </w:r>
          </w:p>
        </w:tc>
        <w:tc>
          <w:tcPr>
            <w:tcW w:w="28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Receivables Purchase Agreement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left"/>
        <w:rPr>
          <w:rFonts w:ascii="Times New Roman" w:hAnsi="Times New Roman"/>
          <w:color w:val="000000"/>
          <w:sz w:val="24"/>
        </w:rPr>
      </w:pPr>
      <w:r>
        <w:rPr>
          <w:rFonts w:ascii="Times New Roman" w:hAnsi="Times New Roman"/>
          <w:color w:val="000000"/>
          <w:sz w:val="24"/>
        </w:rPr>
        <w:t>ASHLAND INDUSTRIES DEUTSCHLAND GMBH</w:t>
      </w:r>
    </w:p>
    <w:p>
      <w:pPr>
        <w:pStyle w:val="TextBody"/>
        <w:bidi w:val="0"/>
        <w:jc w:val="left"/>
        <w:rPr>
          <w:rFonts w:ascii="Times New Roman" w:hAnsi="Times New Roman"/>
          <w:color w:val="000000"/>
          <w:sz w:val="24"/>
        </w:rPr>
      </w:pPr>
      <w:r>
        <w:rPr>
          <w:rFonts w:ascii="Times New Roman" w:hAnsi="Times New Roman"/>
          <w:color w:val="000000"/>
          <w:sz w:val="24"/>
        </w:rPr>
        <w:t>as German Originator</w:t>
      </w:r>
    </w:p>
    <w:p>
      <w:pPr>
        <w:pStyle w:val="TextBody"/>
        <w:bidi w:val="0"/>
        <w:jc w:val="left"/>
        <w:rPr/>
      </w:pPr>
      <w:r>
        <w:rPr/>
        <w:t> </w:t>
      </w:r>
    </w:p>
    <w:tbl>
      <w:tblPr>
        <w:tblW w:w="796" w:type="dxa"/>
        <w:jc w:val="left"/>
        <w:tblInd w:w="0" w:type="dxa"/>
        <w:tblLayout w:type="fixed"/>
        <w:tblCellMar>
          <w:top w:w="28" w:type="dxa"/>
          <w:left w:w="28" w:type="dxa"/>
          <w:bottom w:w="28" w:type="dxa"/>
          <w:right w:w="28" w:type="dxa"/>
        </w:tblCellMar>
      </w:tblPr>
      <w:tblGrid>
        <w:gridCol w:w="796"/>
      </w:tblGrid>
      <w:tr>
        <w:trPr/>
        <w:tc>
          <w:tcPr>
            <w:tcW w:w="796" w:type="dxa"/>
            <w:tcBorders/>
            <w:vAlign w:val="center"/>
          </w:tcPr>
          <w:p>
            <w:pPr>
              <w:pStyle w:val="TableContents"/>
              <w:bidi w:val="0"/>
              <w:spacing w:before="0" w:after="283"/>
              <w:jc w:val="left"/>
              <w:rPr>
                <w:sz w:val="4"/>
                <w:szCs w:val="4"/>
              </w:rPr>
            </w:pPr>
            <w:r>
              <w:rPr>
                <w:sz w:val="4"/>
                <w:szCs w:val="4"/>
              </w:rPr>
            </w:r>
          </w:p>
        </w:tc>
      </w:tr>
      <w:tr>
        <w:trPr/>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r>
        <w:trPr/>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bl>
    <w:p>
      <w:pPr>
        <w:pStyle w:val="TextBody"/>
        <w:bidi w:val="0"/>
        <w:jc w:val="left"/>
        <w:rPr/>
      </w:pPr>
      <w:r>
        <w:rPr/>
        <w:t> </w:t>
      </w:r>
    </w:p>
    <w:p>
      <w:pPr>
        <w:pStyle w:val="TextBody"/>
        <w:bidi w:val="0"/>
        <w:jc w:val="left"/>
        <w:rPr/>
      </w:pPr>
      <w:r>
        <w:rPr/>
        <w:t> </w:t>
      </w:r>
    </w:p>
    <w:tbl>
      <w:tblPr>
        <w:tblW w:w="3448" w:type="dxa"/>
        <w:jc w:val="left"/>
        <w:tblInd w:w="0" w:type="dxa"/>
        <w:tblLayout w:type="fixed"/>
        <w:tblCellMar>
          <w:top w:w="28" w:type="dxa"/>
          <w:left w:w="28" w:type="dxa"/>
          <w:bottom w:w="28" w:type="dxa"/>
          <w:right w:w="28" w:type="dxa"/>
        </w:tblCellMar>
      </w:tblPr>
      <w:tblGrid>
        <w:gridCol w:w="161"/>
        <w:gridCol w:w="436"/>
        <w:gridCol w:w="2851"/>
      </w:tblGrid>
      <w:tr>
        <w:trPr/>
        <w:tc>
          <w:tcPr>
            <w:tcW w:w="1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S-3</w:t>
            </w:r>
          </w:p>
        </w:tc>
        <w:tc>
          <w:tcPr>
            <w:tcW w:w="28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Receivables Purchase Agreement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left"/>
        <w:rPr>
          <w:rFonts w:ascii="Times New Roman" w:hAnsi="Times New Roman"/>
          <w:color w:val="000000"/>
          <w:sz w:val="24"/>
        </w:rPr>
      </w:pPr>
      <w:r>
        <w:rPr>
          <w:rFonts w:ascii="Times New Roman" w:hAnsi="Times New Roman"/>
          <w:color w:val="000000"/>
          <w:sz w:val="24"/>
        </w:rPr>
        <w:t>ASHLAND INC.,</w:t>
      </w:r>
    </w:p>
    <w:p>
      <w:pPr>
        <w:pStyle w:val="TextBody"/>
        <w:bidi w:val="0"/>
        <w:jc w:val="left"/>
        <w:rPr>
          <w:rFonts w:ascii="Times New Roman" w:hAnsi="Times New Roman"/>
          <w:color w:val="000000"/>
          <w:sz w:val="24"/>
        </w:rPr>
      </w:pPr>
      <w:r>
        <w:rPr>
          <w:rFonts w:ascii="Times New Roman" w:hAnsi="Times New Roman"/>
          <w:color w:val="000000"/>
          <w:sz w:val="24"/>
        </w:rPr>
        <w:t>as Performance Guarantor and Ashland</w:t>
      </w:r>
    </w:p>
    <w:p>
      <w:pPr>
        <w:pStyle w:val="TextBody"/>
        <w:bidi w:val="0"/>
        <w:jc w:val="left"/>
        <w:rPr/>
      </w:pPr>
      <w:r>
        <w:rPr/>
        <w:t> </w:t>
      </w:r>
    </w:p>
    <w:p>
      <w:pPr>
        <w:pStyle w:val="TextBody"/>
        <w:bidi w:val="0"/>
        <w:jc w:val="left"/>
        <w:rPr/>
      </w:pPr>
      <w:r>
        <w:rPr/>
        <w:t> </w:t>
      </w:r>
    </w:p>
    <w:tbl>
      <w:tblPr>
        <w:tblW w:w="795" w:type="dxa"/>
        <w:jc w:val="left"/>
        <w:tblInd w:w="0" w:type="dxa"/>
        <w:tblLayout w:type="fixed"/>
        <w:tblCellMar>
          <w:top w:w="28" w:type="dxa"/>
          <w:left w:w="28" w:type="dxa"/>
          <w:bottom w:w="28" w:type="dxa"/>
          <w:right w:w="28" w:type="dxa"/>
        </w:tblCellMar>
      </w:tblPr>
      <w:tblGrid>
        <w:gridCol w:w="549"/>
        <w:gridCol w:w="246"/>
      </w:tblGrid>
      <w:tr>
        <w:trPr/>
        <w:tc>
          <w:tcPr>
            <w:tcW w:w="5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5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By: </w:t>
            </w:r>
          </w:p>
        </w:tc>
        <w:tc>
          <w:tcPr>
            <w:tcW w:w="2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7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bl>
    <w:p>
      <w:pPr>
        <w:pStyle w:val="TextBody"/>
        <w:bidi w:val="0"/>
        <w:jc w:val="left"/>
        <w:rPr/>
      </w:pPr>
      <w:r>
        <w:rPr/>
        <w:t> </w:t>
      </w:r>
    </w:p>
    <w:p>
      <w:pPr>
        <w:pStyle w:val="TextBody"/>
        <w:bidi w:val="0"/>
        <w:jc w:val="left"/>
        <w:rPr/>
      </w:pPr>
      <w:r>
        <w:rPr/>
        <w:t> </w:t>
      </w:r>
    </w:p>
    <w:tbl>
      <w:tblPr>
        <w:tblW w:w="3448" w:type="dxa"/>
        <w:jc w:val="left"/>
        <w:tblInd w:w="0" w:type="dxa"/>
        <w:tblLayout w:type="fixed"/>
        <w:tblCellMar>
          <w:top w:w="28" w:type="dxa"/>
          <w:left w:w="28" w:type="dxa"/>
          <w:bottom w:w="28" w:type="dxa"/>
          <w:right w:w="28" w:type="dxa"/>
        </w:tblCellMar>
      </w:tblPr>
      <w:tblGrid>
        <w:gridCol w:w="161"/>
        <w:gridCol w:w="436"/>
        <w:gridCol w:w="2851"/>
      </w:tblGrid>
      <w:tr>
        <w:trPr/>
        <w:tc>
          <w:tcPr>
            <w:tcW w:w="1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S-4</w:t>
            </w:r>
          </w:p>
        </w:tc>
        <w:tc>
          <w:tcPr>
            <w:tcW w:w="28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Receivables Purchase Agreement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left"/>
        <w:rPr>
          <w:rFonts w:ascii="Times New Roman" w:hAnsi="Times New Roman"/>
          <w:color w:val="000000"/>
          <w:sz w:val="24"/>
        </w:rPr>
      </w:pPr>
      <w:r>
        <w:rPr>
          <w:rFonts w:ascii="Times New Roman" w:hAnsi="Times New Roman"/>
          <w:color w:val="000000"/>
          <w:sz w:val="24"/>
        </w:rPr>
        <w:t>BANK OF AMERICA, N.A.,</w:t>
      </w:r>
    </w:p>
    <w:p>
      <w:pPr>
        <w:pStyle w:val="TextBody"/>
        <w:bidi w:val="0"/>
        <w:jc w:val="left"/>
        <w:rPr>
          <w:rFonts w:ascii="Times New Roman" w:hAnsi="Times New Roman"/>
          <w:color w:val="000000"/>
          <w:sz w:val="24"/>
        </w:rPr>
      </w:pPr>
      <w:r>
        <w:rPr>
          <w:rFonts w:ascii="Times New Roman" w:hAnsi="Times New Roman"/>
          <w:color w:val="000000"/>
          <w:sz w:val="24"/>
        </w:rPr>
        <w:t>as Administrative Agent and Structuring Agent</w:t>
      </w:r>
    </w:p>
    <w:p>
      <w:pPr>
        <w:pStyle w:val="TextBody"/>
        <w:bidi w:val="0"/>
        <w:jc w:val="left"/>
        <w:rPr/>
      </w:pPr>
      <w:r>
        <w:rPr/>
        <w:t> </w:t>
      </w:r>
    </w:p>
    <w:p>
      <w:pPr>
        <w:pStyle w:val="TextBody"/>
        <w:bidi w:val="0"/>
        <w:jc w:val="left"/>
        <w:rPr/>
      </w:pPr>
      <w:r>
        <w:rPr/>
        <w:t> </w:t>
      </w:r>
    </w:p>
    <w:tbl>
      <w:tblPr>
        <w:tblW w:w="795" w:type="dxa"/>
        <w:jc w:val="left"/>
        <w:tblInd w:w="0" w:type="dxa"/>
        <w:tblLayout w:type="fixed"/>
        <w:tblCellMar>
          <w:top w:w="28" w:type="dxa"/>
          <w:left w:w="28" w:type="dxa"/>
          <w:bottom w:w="28" w:type="dxa"/>
          <w:right w:w="28" w:type="dxa"/>
        </w:tblCellMar>
      </w:tblPr>
      <w:tblGrid>
        <w:gridCol w:w="549"/>
        <w:gridCol w:w="246"/>
      </w:tblGrid>
      <w:tr>
        <w:trPr/>
        <w:tc>
          <w:tcPr>
            <w:tcW w:w="5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5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By: </w:t>
            </w:r>
          </w:p>
        </w:tc>
        <w:tc>
          <w:tcPr>
            <w:tcW w:w="2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7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1"/>
        <w:bidi w:val="0"/>
        <w:jc w:val="left"/>
        <w:rPr>
          <w:rFonts w:ascii="Times New Roman" w:hAnsi="Times New Roman"/>
          <w:color w:val="000000"/>
          <w:sz w:val="24"/>
        </w:rPr>
      </w:pPr>
      <w:r>
        <w:rPr>
          <w:rFonts w:ascii="Times New Roman" w:hAnsi="Times New Roman"/>
          <w:color w:val="000000"/>
          <w:sz w:val="24"/>
        </w:rPr>
        <w:t>BANK OF AMERICA, N.A.,</w:t>
      </w:r>
    </w:p>
    <w:p>
      <w:pPr>
        <w:pStyle w:val="TextBody"/>
        <w:bidi w:val="0"/>
        <w:jc w:val="left"/>
        <w:rPr>
          <w:rFonts w:ascii="Times New Roman" w:hAnsi="Times New Roman"/>
          <w:color w:val="000000"/>
          <w:sz w:val="24"/>
        </w:rPr>
      </w:pPr>
      <w:r>
        <w:rPr>
          <w:rFonts w:ascii="Times New Roman" w:hAnsi="Times New Roman"/>
          <w:color w:val="000000"/>
          <w:sz w:val="24"/>
        </w:rPr>
        <w:t>as Group Agent for Bank of America Group</w:t>
      </w:r>
    </w:p>
    <w:p>
      <w:pPr>
        <w:pStyle w:val="TextBody"/>
        <w:bidi w:val="0"/>
        <w:jc w:val="left"/>
        <w:rPr/>
      </w:pPr>
      <w:r>
        <w:rPr/>
        <w:t> </w:t>
      </w:r>
    </w:p>
    <w:p>
      <w:pPr>
        <w:pStyle w:val="TextBody"/>
        <w:bidi w:val="0"/>
        <w:jc w:val="left"/>
        <w:rPr/>
      </w:pPr>
      <w:r>
        <w:rPr/>
        <w:t> </w:t>
      </w:r>
    </w:p>
    <w:tbl>
      <w:tblPr>
        <w:tblW w:w="795" w:type="dxa"/>
        <w:jc w:val="left"/>
        <w:tblInd w:w="0" w:type="dxa"/>
        <w:tblLayout w:type="fixed"/>
        <w:tblCellMar>
          <w:top w:w="28" w:type="dxa"/>
          <w:left w:w="28" w:type="dxa"/>
          <w:bottom w:w="28" w:type="dxa"/>
          <w:right w:w="28" w:type="dxa"/>
        </w:tblCellMar>
      </w:tblPr>
      <w:tblGrid>
        <w:gridCol w:w="549"/>
        <w:gridCol w:w="246"/>
      </w:tblGrid>
      <w:tr>
        <w:trPr/>
        <w:tc>
          <w:tcPr>
            <w:tcW w:w="5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5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By: </w:t>
            </w:r>
          </w:p>
        </w:tc>
        <w:tc>
          <w:tcPr>
            <w:tcW w:w="2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7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1"/>
        <w:bidi w:val="0"/>
        <w:jc w:val="left"/>
        <w:rPr>
          <w:rFonts w:ascii="Times New Roman" w:hAnsi="Times New Roman"/>
          <w:color w:val="000000"/>
          <w:sz w:val="24"/>
        </w:rPr>
      </w:pPr>
      <w:r>
        <w:rPr>
          <w:rFonts w:ascii="Times New Roman" w:hAnsi="Times New Roman"/>
          <w:color w:val="000000"/>
          <w:sz w:val="24"/>
        </w:rPr>
        <w:t>BANK OF AMERICA EUROPE DAC</w:t>
      </w:r>
    </w:p>
    <w:p>
      <w:pPr>
        <w:pStyle w:val="TextBody"/>
        <w:bidi w:val="0"/>
        <w:jc w:val="left"/>
        <w:rPr>
          <w:rFonts w:ascii="Times New Roman" w:hAnsi="Times New Roman"/>
          <w:color w:val="000000"/>
          <w:sz w:val="24"/>
        </w:rPr>
      </w:pPr>
      <w:r>
        <w:rPr>
          <w:rFonts w:ascii="Times New Roman" w:hAnsi="Times New Roman"/>
          <w:color w:val="000000"/>
          <w:sz w:val="24"/>
        </w:rPr>
        <w:t>as Committed Purchaser</w:t>
      </w:r>
    </w:p>
    <w:p>
      <w:pPr>
        <w:pStyle w:val="TextBody"/>
        <w:bidi w:val="0"/>
        <w:jc w:val="left"/>
        <w:rPr/>
      </w:pPr>
      <w:r>
        <w:rPr/>
        <w:t> </w:t>
      </w:r>
    </w:p>
    <w:p>
      <w:pPr>
        <w:pStyle w:val="TextBody"/>
        <w:bidi w:val="0"/>
        <w:jc w:val="left"/>
        <w:rPr/>
      </w:pPr>
      <w:r>
        <w:rPr/>
        <w:t> </w:t>
      </w:r>
    </w:p>
    <w:tbl>
      <w:tblPr>
        <w:tblW w:w="795" w:type="dxa"/>
        <w:jc w:val="left"/>
        <w:tblInd w:w="0" w:type="dxa"/>
        <w:tblLayout w:type="fixed"/>
        <w:tblCellMar>
          <w:top w:w="28" w:type="dxa"/>
          <w:left w:w="28" w:type="dxa"/>
          <w:bottom w:w="28" w:type="dxa"/>
          <w:right w:w="28" w:type="dxa"/>
        </w:tblCellMar>
      </w:tblPr>
      <w:tblGrid>
        <w:gridCol w:w="549"/>
        <w:gridCol w:w="246"/>
      </w:tblGrid>
      <w:tr>
        <w:trPr/>
        <w:tc>
          <w:tcPr>
            <w:tcW w:w="5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5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By: </w:t>
            </w:r>
          </w:p>
        </w:tc>
        <w:tc>
          <w:tcPr>
            <w:tcW w:w="2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7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bl>
    <w:p>
      <w:pPr>
        <w:pStyle w:val="TextBody"/>
        <w:bidi w:val="0"/>
        <w:jc w:val="left"/>
        <w:rPr/>
      </w:pPr>
      <w:r>
        <w:rPr/>
        <w:t> </w:t>
      </w:r>
    </w:p>
    <w:p>
      <w:pPr>
        <w:pStyle w:val="TextBody"/>
        <w:bidi w:val="0"/>
        <w:jc w:val="left"/>
        <w:rPr/>
      </w:pPr>
      <w:r>
        <w:rPr/>
        <w:t> </w:t>
      </w:r>
    </w:p>
    <w:tbl>
      <w:tblPr>
        <w:tblW w:w="3448" w:type="dxa"/>
        <w:jc w:val="left"/>
        <w:tblInd w:w="0" w:type="dxa"/>
        <w:tblLayout w:type="fixed"/>
        <w:tblCellMar>
          <w:top w:w="28" w:type="dxa"/>
          <w:left w:w="28" w:type="dxa"/>
          <w:bottom w:w="28" w:type="dxa"/>
          <w:right w:w="28" w:type="dxa"/>
        </w:tblCellMar>
      </w:tblPr>
      <w:tblGrid>
        <w:gridCol w:w="161"/>
        <w:gridCol w:w="436"/>
        <w:gridCol w:w="2851"/>
      </w:tblGrid>
      <w:tr>
        <w:trPr/>
        <w:tc>
          <w:tcPr>
            <w:tcW w:w="1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S-5</w:t>
            </w:r>
          </w:p>
        </w:tc>
        <w:tc>
          <w:tcPr>
            <w:tcW w:w="28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Receivables Purchase Agreement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left"/>
        <w:rPr>
          <w:rFonts w:ascii="Times New Roman" w:hAnsi="Times New Roman"/>
          <w:color w:val="000000"/>
          <w:sz w:val="24"/>
        </w:rPr>
      </w:pPr>
      <w:r>
        <w:rPr>
          <w:rFonts w:ascii="Times New Roman" w:hAnsi="Times New Roman"/>
          <w:color w:val="000000"/>
          <w:sz w:val="24"/>
        </w:rPr>
        <w:t>MONT BLANC CAPITAL CORP</w:t>
      </w:r>
    </w:p>
    <w:p>
      <w:pPr>
        <w:pStyle w:val="TextBody"/>
        <w:bidi w:val="0"/>
        <w:jc w:val="left"/>
        <w:rPr>
          <w:rFonts w:ascii="Times New Roman" w:hAnsi="Times New Roman"/>
          <w:color w:val="000000"/>
          <w:sz w:val="24"/>
        </w:rPr>
      </w:pPr>
      <w:r>
        <w:rPr>
          <w:rFonts w:ascii="Times New Roman" w:hAnsi="Times New Roman"/>
          <w:color w:val="000000"/>
          <w:sz w:val="24"/>
        </w:rPr>
        <w:t>as a Committed Purchaser</w:t>
      </w:r>
    </w:p>
    <w:p>
      <w:pPr>
        <w:pStyle w:val="TextBody"/>
        <w:bidi w:val="0"/>
        <w:jc w:val="left"/>
        <w:rPr/>
      </w:pPr>
      <w:r>
        <w:rPr/>
        <w:t> </w:t>
      </w:r>
    </w:p>
    <w:p>
      <w:pPr>
        <w:pStyle w:val="TextBody"/>
        <w:bidi w:val="0"/>
        <w:jc w:val="left"/>
        <w:rPr/>
      </w:pPr>
      <w:r>
        <w:rPr/>
        <w:t> </w:t>
      </w:r>
    </w:p>
    <w:tbl>
      <w:tblPr>
        <w:tblW w:w="795" w:type="dxa"/>
        <w:jc w:val="left"/>
        <w:tblInd w:w="0" w:type="dxa"/>
        <w:tblLayout w:type="fixed"/>
        <w:tblCellMar>
          <w:top w:w="28" w:type="dxa"/>
          <w:left w:w="28" w:type="dxa"/>
          <w:bottom w:w="28" w:type="dxa"/>
          <w:right w:w="28" w:type="dxa"/>
        </w:tblCellMar>
      </w:tblPr>
      <w:tblGrid>
        <w:gridCol w:w="549"/>
        <w:gridCol w:w="246"/>
      </w:tblGrid>
      <w:tr>
        <w:trPr/>
        <w:tc>
          <w:tcPr>
            <w:tcW w:w="5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5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By: </w:t>
            </w:r>
          </w:p>
        </w:tc>
        <w:tc>
          <w:tcPr>
            <w:tcW w:w="2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7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bl>
    <w:p>
      <w:pPr>
        <w:pStyle w:val="TextBody"/>
        <w:bidi w:val="0"/>
        <w:jc w:val="left"/>
        <w:rPr/>
      </w:pPr>
      <w:r>
        <w:rPr/>
        <w:t> </w:t>
      </w:r>
    </w:p>
    <w:p>
      <w:pPr>
        <w:pStyle w:val="TextBody"/>
        <w:bidi w:val="0"/>
        <w:jc w:val="left"/>
        <w:rPr/>
      </w:pPr>
      <w:r>
        <w:rPr/>
        <w:t> </w:t>
      </w:r>
    </w:p>
    <w:tbl>
      <w:tblPr>
        <w:tblW w:w="795" w:type="dxa"/>
        <w:jc w:val="left"/>
        <w:tblInd w:w="0" w:type="dxa"/>
        <w:tblLayout w:type="fixed"/>
        <w:tblCellMar>
          <w:top w:w="28" w:type="dxa"/>
          <w:left w:w="28" w:type="dxa"/>
          <w:bottom w:w="28" w:type="dxa"/>
          <w:right w:w="28" w:type="dxa"/>
        </w:tblCellMar>
      </w:tblPr>
      <w:tblGrid>
        <w:gridCol w:w="549"/>
        <w:gridCol w:w="246"/>
      </w:tblGrid>
      <w:tr>
        <w:trPr/>
        <w:tc>
          <w:tcPr>
            <w:tcW w:w="5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5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By: </w:t>
            </w:r>
          </w:p>
        </w:tc>
        <w:tc>
          <w:tcPr>
            <w:tcW w:w="2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7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1"/>
        <w:bidi w:val="0"/>
        <w:jc w:val="left"/>
        <w:rPr>
          <w:rFonts w:ascii="Times New Roman" w:hAnsi="Times New Roman"/>
          <w:color w:val="000000"/>
          <w:sz w:val="24"/>
        </w:rPr>
      </w:pPr>
      <w:r>
        <w:rPr>
          <w:rFonts w:ascii="Times New Roman" w:hAnsi="Times New Roman"/>
          <w:color w:val="000000"/>
          <w:sz w:val="24"/>
        </w:rPr>
        <w:t>ING BELGIUM SA/NV,</w:t>
      </w:r>
    </w:p>
    <w:p>
      <w:pPr>
        <w:pStyle w:val="TextBody"/>
        <w:bidi w:val="0"/>
        <w:jc w:val="left"/>
        <w:rPr>
          <w:rFonts w:ascii="Times New Roman" w:hAnsi="Times New Roman"/>
          <w:color w:val="000000"/>
          <w:sz w:val="24"/>
        </w:rPr>
      </w:pPr>
      <w:r>
        <w:rPr>
          <w:rFonts w:ascii="Times New Roman" w:hAnsi="Times New Roman"/>
          <w:color w:val="000000"/>
          <w:sz w:val="24"/>
        </w:rPr>
        <w:t>as Group Agent for the ING Group</w:t>
      </w:r>
    </w:p>
    <w:p>
      <w:pPr>
        <w:pStyle w:val="TextBody"/>
        <w:bidi w:val="0"/>
        <w:jc w:val="left"/>
        <w:rPr/>
      </w:pPr>
      <w:r>
        <w:rPr/>
        <w:t> </w:t>
      </w:r>
    </w:p>
    <w:p>
      <w:pPr>
        <w:pStyle w:val="TextBody"/>
        <w:bidi w:val="0"/>
        <w:jc w:val="left"/>
        <w:rPr/>
      </w:pPr>
      <w:r>
        <w:rPr/>
        <w:t> </w:t>
      </w:r>
    </w:p>
    <w:tbl>
      <w:tblPr>
        <w:tblW w:w="795" w:type="dxa"/>
        <w:jc w:val="left"/>
        <w:tblInd w:w="0" w:type="dxa"/>
        <w:tblLayout w:type="fixed"/>
        <w:tblCellMar>
          <w:top w:w="28" w:type="dxa"/>
          <w:left w:w="28" w:type="dxa"/>
          <w:bottom w:w="28" w:type="dxa"/>
          <w:right w:w="28" w:type="dxa"/>
        </w:tblCellMar>
      </w:tblPr>
      <w:tblGrid>
        <w:gridCol w:w="549"/>
        <w:gridCol w:w="246"/>
      </w:tblGrid>
      <w:tr>
        <w:trPr/>
        <w:tc>
          <w:tcPr>
            <w:tcW w:w="5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5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By: </w:t>
            </w:r>
          </w:p>
        </w:tc>
        <w:tc>
          <w:tcPr>
            <w:tcW w:w="2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7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bl>
    <w:p>
      <w:pPr>
        <w:pStyle w:val="TextBody"/>
        <w:bidi w:val="0"/>
        <w:jc w:val="left"/>
        <w:rPr/>
      </w:pPr>
      <w:r>
        <w:rPr/>
        <w:t> </w:t>
      </w:r>
    </w:p>
    <w:p>
      <w:pPr>
        <w:pStyle w:val="TextBody"/>
        <w:bidi w:val="0"/>
        <w:jc w:val="left"/>
        <w:rPr/>
      </w:pPr>
      <w:r>
        <w:rPr/>
        <w:t> </w:t>
      </w:r>
    </w:p>
    <w:tbl>
      <w:tblPr>
        <w:tblW w:w="795" w:type="dxa"/>
        <w:jc w:val="left"/>
        <w:tblInd w:w="0" w:type="dxa"/>
        <w:tblLayout w:type="fixed"/>
        <w:tblCellMar>
          <w:top w:w="28" w:type="dxa"/>
          <w:left w:w="28" w:type="dxa"/>
          <w:bottom w:w="28" w:type="dxa"/>
          <w:right w:w="28" w:type="dxa"/>
        </w:tblCellMar>
      </w:tblPr>
      <w:tblGrid>
        <w:gridCol w:w="549"/>
        <w:gridCol w:w="246"/>
      </w:tblGrid>
      <w:tr>
        <w:trPr/>
        <w:tc>
          <w:tcPr>
            <w:tcW w:w="5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5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By: </w:t>
            </w:r>
          </w:p>
        </w:tc>
        <w:tc>
          <w:tcPr>
            <w:tcW w:w="2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7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bl>
    <w:p>
      <w:pPr>
        <w:pStyle w:val="TextBody"/>
        <w:bidi w:val="0"/>
        <w:jc w:val="left"/>
        <w:rPr/>
      </w:pPr>
      <w:r>
        <w:rPr/>
        <w:t> </w:t>
      </w:r>
    </w:p>
    <w:p>
      <w:pPr>
        <w:pStyle w:val="TextBody"/>
        <w:bidi w:val="0"/>
        <w:jc w:val="left"/>
        <w:rPr/>
      </w:pPr>
      <w:r>
        <w:rPr/>
        <w:t> </w:t>
      </w:r>
    </w:p>
    <w:tbl>
      <w:tblPr>
        <w:tblW w:w="3448" w:type="dxa"/>
        <w:jc w:val="left"/>
        <w:tblInd w:w="0" w:type="dxa"/>
        <w:tblLayout w:type="fixed"/>
        <w:tblCellMar>
          <w:top w:w="28" w:type="dxa"/>
          <w:left w:w="28" w:type="dxa"/>
          <w:bottom w:w="28" w:type="dxa"/>
          <w:right w:w="28" w:type="dxa"/>
        </w:tblCellMar>
      </w:tblPr>
      <w:tblGrid>
        <w:gridCol w:w="161"/>
        <w:gridCol w:w="436"/>
        <w:gridCol w:w="2851"/>
      </w:tblGrid>
      <w:tr>
        <w:trPr/>
        <w:tc>
          <w:tcPr>
            <w:tcW w:w="1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S-6</w:t>
            </w:r>
          </w:p>
        </w:tc>
        <w:tc>
          <w:tcPr>
            <w:tcW w:w="28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Receivables Purchase Agreement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b/>
          <w:color w:val="030103"/>
          <w:sz w:val="24"/>
        </w:rPr>
        <w:t>EXECUTION</w:t>
      </w:r>
      <w:r>
        <w:rPr>
          <w:rFonts w:ascii="Times New Roman" w:hAnsi="Times New Roman"/>
          <w:color w:val="030103"/>
          <w:sz w:val="24"/>
        </w:rPr>
        <w:t xml:space="preserve"> </w:t>
      </w:r>
      <w:r>
        <w:rPr>
          <w:rFonts w:ascii="Times New Roman" w:hAnsi="Times New Roman"/>
          <w:b/>
          <w:color w:val="030103"/>
          <w:sz w:val="24"/>
        </w:rPr>
        <w:t>of</w:t>
      </w:r>
      <w:r>
        <w:rPr>
          <w:rFonts w:ascii="Times New Roman" w:hAnsi="Times New Roman"/>
          <w:color w:val="030103"/>
          <w:sz w:val="24"/>
        </w:rPr>
        <w:t xml:space="preserve"> </w:t>
      </w:r>
      <w:r>
        <w:rPr>
          <w:rFonts w:ascii="Times New Roman" w:hAnsi="Times New Roman"/>
          <w:b/>
          <w:color w:val="030103"/>
          <w:sz w:val="24"/>
        </w:rPr>
        <w:t>Deed</w:t>
      </w:r>
      <w:r>
        <w:rPr>
          <w:rFonts w:ascii="Times New Roman" w:hAnsi="Times New Roman"/>
          <w:color w:val="030103"/>
          <w:sz w:val="24"/>
        </w:rPr>
        <w:t xml:space="preserve"> </w:t>
      </w:r>
      <w:r>
        <w:rPr>
          <w:rFonts w:ascii="Times New Roman" w:hAnsi="Times New Roman"/>
          <w:b/>
          <w:color w:val="030103"/>
          <w:sz w:val="24"/>
        </w:rPr>
        <w:t>of</w:t>
      </w:r>
      <w:r>
        <w:rPr>
          <w:rFonts w:ascii="Times New Roman" w:hAnsi="Times New Roman"/>
          <w:color w:val="030103"/>
          <w:sz w:val="24"/>
        </w:rPr>
        <w:t xml:space="preserve"> </w:t>
      </w:r>
      <w:r>
        <w:rPr>
          <w:rFonts w:ascii="Times New Roman" w:hAnsi="Times New Roman"/>
          <w:b/>
          <w:color w:val="030103"/>
          <w:sz w:val="24"/>
        </w:rPr>
        <w:t>Amendment</w:t>
      </w:r>
      <w:r>
        <w:rPr>
          <w:rFonts w:ascii="Times New Roman" w:hAnsi="Times New Roman"/>
          <w:color w:val="030103"/>
          <w:sz w:val="24"/>
        </w:rPr>
        <w:t xml:space="preserve"> </w:t>
      </w:r>
      <w:r>
        <w:rPr>
          <w:rFonts w:ascii="Times New Roman" w:hAnsi="Times New Roman"/>
          <w:b/>
          <w:color w:val="030103"/>
          <w:sz w:val="24"/>
        </w:rPr>
        <w:t>and</w:t>
      </w:r>
      <w:r>
        <w:rPr>
          <w:rFonts w:ascii="Times New Roman" w:hAnsi="Times New Roman"/>
          <w:color w:val="030103"/>
          <w:sz w:val="24"/>
        </w:rPr>
        <w:t xml:space="preserve"> </w:t>
      </w:r>
      <w:r>
        <w:rPr>
          <w:rFonts w:ascii="Times New Roman" w:hAnsi="Times New Roman"/>
          <w:b/>
          <w:color w:val="030103"/>
          <w:sz w:val="24"/>
        </w:rPr>
        <w:t>Restatement: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b/>
          <w:color w:val="030103"/>
          <w:sz w:val="24"/>
        </w:rPr>
        <w:t>SIGNED</w:t>
      </w:r>
      <w:r>
        <w:rPr>
          <w:rFonts w:ascii="Times New Roman" w:hAnsi="Times New Roman"/>
          <w:color w:val="030103"/>
          <w:sz w:val="24"/>
        </w:rPr>
        <w:t xml:space="preserve"> </w:t>
      </w:r>
      <w:r>
        <w:rPr>
          <w:rFonts w:ascii="Times New Roman" w:hAnsi="Times New Roman"/>
          <w:b/>
          <w:color w:val="030103"/>
          <w:sz w:val="24"/>
        </w:rPr>
        <w:t>AND</w:t>
      </w:r>
      <w:r>
        <w:rPr>
          <w:rFonts w:ascii="Times New Roman" w:hAnsi="Times New Roman"/>
          <w:color w:val="030103"/>
          <w:sz w:val="24"/>
        </w:rPr>
        <w:t xml:space="preserve"> </w:t>
      </w:r>
      <w:r>
        <w:rPr>
          <w:rFonts w:ascii="Times New Roman" w:hAnsi="Times New Roman"/>
          <w:b/>
          <w:color w:val="030103"/>
          <w:sz w:val="24"/>
        </w:rPr>
        <w:t>DELIVERED</w:t>
      </w:r>
      <w:r>
        <w:rPr>
          <w:rFonts w:ascii="Times New Roman" w:hAnsi="Times New Roman"/>
          <w:color w:val="030103"/>
          <w:sz w:val="24"/>
        </w:rPr>
        <w:t xml:space="preserve"> as a </w:t>
      </w:r>
      <w:r>
        <w:rPr>
          <w:rFonts w:ascii="Times New Roman" w:hAnsi="Times New Roman"/>
          <w:b/>
          <w:color w:val="030103"/>
          <w:sz w:val="24"/>
        </w:rPr>
        <w:t>DEED</w:t>
      </w:r>
    </w:p>
    <w:p>
      <w:pPr>
        <w:pStyle w:val="TextBody"/>
        <w:bidi w:val="0"/>
        <w:jc w:val="left"/>
        <w:rPr>
          <w:rFonts w:ascii="Times New Roman" w:hAnsi="Times New Roman"/>
          <w:sz w:val="24"/>
        </w:rPr>
      </w:pPr>
      <w:r>
        <w:rPr>
          <w:rFonts w:ascii="Times New Roman" w:hAnsi="Times New Roman"/>
          <w:color w:val="030103"/>
          <w:sz w:val="24"/>
        </w:rPr>
        <w:t xml:space="preserve">for and on behalf of </w:t>
      </w:r>
      <w:r>
        <w:rPr>
          <w:rFonts w:ascii="Times New Roman" w:hAnsi="Times New Roman"/>
          <w:b/>
          <w:color w:val="030103"/>
          <w:sz w:val="24"/>
        </w:rPr>
        <w:t>ASHLAND</w:t>
      </w:r>
      <w:r>
        <w:rPr>
          <w:rFonts w:ascii="Times New Roman" w:hAnsi="Times New Roman"/>
          <w:color w:val="030103"/>
          <w:sz w:val="24"/>
        </w:rPr>
        <w:t xml:space="preserve"> </w:t>
      </w:r>
      <w:r>
        <w:rPr>
          <w:rFonts w:ascii="Times New Roman" w:hAnsi="Times New Roman"/>
          <w:b/>
          <w:color w:val="030103"/>
          <w:sz w:val="24"/>
        </w:rPr>
        <w:t>INTERNATIONAL</w:t>
      </w:r>
      <w:r>
        <w:rPr>
          <w:rFonts w:ascii="Times New Roman" w:hAnsi="Times New Roman"/>
          <w:color w:val="030103"/>
          <w:sz w:val="24"/>
        </w:rPr>
        <w:t xml:space="preserve"> </w:t>
      </w:r>
    </w:p>
    <w:p>
      <w:pPr>
        <w:pStyle w:val="TextBody"/>
        <w:bidi w:val="0"/>
        <w:jc w:val="left"/>
        <w:rPr>
          <w:rFonts w:ascii="Times New Roman" w:hAnsi="Times New Roman"/>
          <w:b/>
          <w:color w:val="030103"/>
          <w:sz w:val="24"/>
        </w:rPr>
      </w:pPr>
      <w:r>
        <w:rPr>
          <w:rFonts w:ascii="Times New Roman" w:hAnsi="Times New Roman"/>
          <w:b/>
          <w:color w:val="030103"/>
          <w:sz w:val="24"/>
        </w:rPr>
        <w:t>RECEIVABLES DESIGNATED ACTIVITY</w:t>
      </w:r>
    </w:p>
    <w:p>
      <w:pPr>
        <w:pStyle w:val="TextBody"/>
        <w:bidi w:val="0"/>
        <w:jc w:val="left"/>
        <w:rPr>
          <w:rFonts w:ascii="Times New Roman" w:hAnsi="Times New Roman"/>
          <w:sz w:val="24"/>
        </w:rPr>
      </w:pPr>
      <w:r>
        <w:rPr>
          <w:rFonts w:ascii="Times New Roman" w:hAnsi="Times New Roman"/>
          <w:b/>
          <w:color w:val="030103"/>
          <w:sz w:val="24"/>
        </w:rPr>
        <w:t>COMPANY</w:t>
      </w:r>
      <w:r>
        <w:rPr>
          <w:rFonts w:ascii="Times New Roman" w:hAnsi="Times New Roman"/>
          <w:color w:val="030103"/>
          <w:sz w:val="24"/>
        </w:rPr>
        <w:t xml:space="preserve"> as the Seller by its lawfully appointed </w:t>
      </w:r>
    </w:p>
    <w:p>
      <w:pPr>
        <w:pStyle w:val="TextBody"/>
        <w:bidi w:val="0"/>
        <w:jc w:val="left"/>
        <w:rPr>
          <w:rFonts w:ascii="Times New Roman" w:hAnsi="Times New Roman"/>
          <w:color w:val="030103"/>
          <w:sz w:val="24"/>
        </w:rPr>
      </w:pPr>
      <w:r>
        <w:rPr>
          <w:rFonts w:ascii="Times New Roman" w:hAnsi="Times New Roman"/>
          <w:color w:val="030103"/>
          <w:sz w:val="24"/>
        </w:rPr>
        <w:t>attorney in the presence of:</w:t>
      </w:r>
    </w:p>
    <w:p>
      <w:pPr>
        <w:pStyle w:val="TextBody"/>
        <w:bidi w:val="0"/>
        <w:jc w:val="left"/>
        <w:rPr/>
      </w:pPr>
      <w:r>
        <w:rPr/>
        <w:t> </w:t>
      </w:r>
    </w:p>
    <w:tbl>
      <w:tblPr>
        <w:tblW w:w="6537" w:type="dxa"/>
        <w:jc w:val="left"/>
        <w:tblInd w:w="0" w:type="dxa"/>
        <w:tblLayout w:type="fixed"/>
        <w:tblCellMar>
          <w:top w:w="28" w:type="dxa"/>
          <w:left w:w="28" w:type="dxa"/>
          <w:bottom w:w="28" w:type="dxa"/>
          <w:right w:w="28" w:type="dxa"/>
        </w:tblCellMar>
      </w:tblPr>
      <w:tblGrid>
        <w:gridCol w:w="3838"/>
        <w:gridCol w:w="376"/>
        <w:gridCol w:w="252"/>
        <w:gridCol w:w="2071"/>
      </w:tblGrid>
      <w:tr>
        <w:trPr/>
        <w:tc>
          <w:tcPr>
            <w:tcW w:w="383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3838"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1" w:after="283"/>
              <w:jc w:val="left"/>
              <w:rPr>
                <w:rFonts w:ascii="Times New Roman" w:hAnsi="Times New Roman"/>
                <w:sz w:val="24"/>
              </w:rPr>
            </w:pPr>
            <w:r>
              <w:rPr>
                <w:rFonts w:ascii="Times New Roman" w:hAnsi="Times New Roman"/>
                <w:i/>
                <w:color w:val="141317"/>
                <w:sz w:val="24"/>
              </w:rPr>
              <w:t>/s/</w:t>
            </w:r>
            <w:r>
              <w:rPr>
                <w:rFonts w:ascii="Times New Roman" w:hAnsi="Times New Roman"/>
                <w:color w:val="141317"/>
                <w:sz w:val="24"/>
              </w:rPr>
              <w:t xml:space="preserve"> </w:t>
            </w:r>
            <w:r>
              <w:rPr>
                <w:rFonts w:ascii="Times New Roman" w:hAnsi="Times New Roman"/>
                <w:color w:val="030103"/>
                <w:sz w:val="24"/>
              </w:rPr>
              <w:t>Kevin Higgins</w:t>
            </w:r>
          </w:p>
        </w:tc>
      </w:tr>
      <w:tr>
        <w:trPr/>
        <w:tc>
          <w:tcPr>
            <w:tcW w:w="3838"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38"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16" w:after="283"/>
              <w:jc w:val="left"/>
              <w:rPr>
                <w:rFonts w:ascii="Times New Roman" w:hAnsi="Times New Roman"/>
                <w:color w:val="030103"/>
                <w:sz w:val="24"/>
              </w:rPr>
            </w:pPr>
            <w:r>
              <w:rPr>
                <w:rFonts w:ascii="Times New Roman" w:hAnsi="Times New Roman"/>
                <w:color w:val="030103"/>
                <w:sz w:val="24"/>
              </w:rPr>
              <w:t>Attorney signature</w:t>
            </w:r>
          </w:p>
        </w:tc>
      </w:tr>
      <w:tr>
        <w:trPr/>
        <w:tc>
          <w:tcPr>
            <w:tcW w:w="3838"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16" w:after="283"/>
              <w:jc w:val="left"/>
              <w:rPr/>
            </w:pPr>
            <w:r>
              <w:rPr/>
              <w:t> </w:t>
            </w:r>
          </w:p>
        </w:tc>
      </w:tr>
      <w:tr>
        <w:trPr/>
        <w:tc>
          <w:tcPr>
            <w:tcW w:w="38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i/>
                <w:color w:val="141317"/>
                <w:sz w:val="24"/>
              </w:rPr>
              <w:t xml:space="preserve">/s/ </w:t>
            </w:r>
            <w:r>
              <w:rPr>
                <w:rFonts w:ascii="Times New Roman" w:hAnsi="Times New Roman"/>
                <w:color w:val="141317"/>
                <w:sz w:val="24"/>
              </w:rPr>
              <w:t>Ely</w:t>
            </w:r>
            <w:r>
              <w:rPr>
                <w:rFonts w:ascii="Times New Roman" w:hAnsi="Times New Roman"/>
                <w:color w:val="030103"/>
                <w:sz w:val="24"/>
              </w:rPr>
              <w:t>se Higgins</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3" w:type="dxa"/>
            <w:gridSpan w:val="2"/>
            <w:tcBorders/>
            <w:tcMar>
              <w:top w:w="0" w:type="dxa"/>
              <w:left w:w="0" w:type="dxa"/>
              <w:bottom w:w="0" w:type="dxa"/>
              <w:right w:w="0" w:type="dxa"/>
            </w:tcMar>
            <w:vAlign w:val="center"/>
          </w:tcPr>
          <w:p>
            <w:pPr>
              <w:pStyle w:val="TableContents"/>
              <w:bidi w:val="0"/>
              <w:spacing w:before="0" w:after="283"/>
              <w:jc w:val="left"/>
              <w:rPr/>
            </w:pPr>
            <w:r>
              <w:rPr>
                <w:color w:val="030103"/>
              </w:rPr>
              <w:t>  </w:t>
            </w:r>
            <w:r>
              <w:rPr>
                <w:rFonts w:ascii="Times New Roman" w:hAnsi="Times New Roman"/>
                <w:color w:val="030103"/>
                <w:sz w:val="24"/>
              </w:rPr>
              <w:t>Kevin Higgins</w:t>
            </w:r>
          </w:p>
        </w:tc>
      </w:tr>
      <w:tr>
        <w:trPr/>
        <w:tc>
          <w:tcPr>
            <w:tcW w:w="383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2"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38"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sz w:val="24"/>
              </w:rPr>
            </w:pPr>
            <w:r>
              <w:rPr>
                <w:rFonts w:ascii="Times New Roman" w:hAnsi="Times New Roman"/>
                <w:color w:val="141317"/>
                <w:sz w:val="24"/>
              </w:rPr>
              <w:t>(Witness</w:t>
            </w:r>
            <w:r>
              <w:rPr>
                <w:rFonts w:ascii="Times New Roman" w:hAnsi="Times New Roman"/>
                <w:color w:val="463634"/>
                <w:sz w:val="24"/>
              </w:rPr>
              <w:t xml:space="preserve">' </w:t>
            </w:r>
            <w:r>
              <w:rPr>
                <w:rFonts w:ascii="Times New Roman" w:hAnsi="Times New Roman"/>
                <w:color w:val="030103"/>
                <w:sz w:val="24"/>
              </w:rPr>
              <w:t>Signature)</w:t>
            </w:r>
          </w:p>
        </w:tc>
        <w:tc>
          <w:tcPr>
            <w:tcW w:w="376" w:type="dxa"/>
            <w:tcBorders/>
            <w:tcMar>
              <w:top w:w="0" w:type="dxa"/>
              <w:left w:w="0" w:type="dxa"/>
              <w:bottom w:w="0" w:type="dxa"/>
              <w:right w:w="0" w:type="dxa"/>
            </w:tcMar>
            <w:vAlign w:val="center"/>
          </w:tcPr>
          <w:p>
            <w:pPr>
              <w:pStyle w:val="TableContents"/>
              <w:bidi w:val="0"/>
              <w:spacing w:before="20" w:after="283"/>
              <w:jc w:val="left"/>
              <w:rPr/>
            </w:pPr>
            <w:r>
              <w:rPr/>
              <w:t> </w:t>
            </w:r>
          </w:p>
        </w:tc>
        <w:tc>
          <w:tcPr>
            <w:tcW w:w="252" w:type="dxa"/>
            <w:tcBorders/>
            <w:tcMar>
              <w:top w:w="0" w:type="dxa"/>
              <w:left w:w="0" w:type="dxa"/>
              <w:bottom w:w="0" w:type="dxa"/>
              <w:right w:w="0" w:type="dxa"/>
            </w:tcMar>
            <w:vAlign w:val="center"/>
          </w:tcPr>
          <w:p>
            <w:pPr>
              <w:pStyle w:val="TableContents"/>
              <w:bidi w:val="0"/>
              <w:spacing w:before="2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color w:val="030103"/>
                <w:sz w:val="24"/>
              </w:rPr>
            </w:pPr>
            <w:r>
              <w:rPr>
                <w:rFonts w:ascii="Times New Roman" w:hAnsi="Times New Roman"/>
                <w:color w:val="030103"/>
                <w:sz w:val="24"/>
              </w:rPr>
              <w:t>Print Attorney name</w:t>
            </w:r>
          </w:p>
        </w:tc>
      </w:tr>
      <w:tr>
        <w:trPr/>
        <w:tc>
          <w:tcPr>
            <w:tcW w:w="3838"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30103"/>
                <w:sz w:val="24"/>
              </w:rPr>
            </w:pPr>
            <w:r>
              <w:rPr>
                <w:rFonts w:ascii="Times New Roman" w:hAnsi="Times New Roman"/>
                <w:color w:val="030103"/>
                <w:sz w:val="24"/>
              </w:rPr>
              <w:t>Elyse Higgins</w:t>
            </w:r>
          </w:p>
        </w:tc>
        <w:tc>
          <w:tcPr>
            <w:tcW w:w="376" w:type="dxa"/>
            <w:tcBorders/>
            <w:tcMar>
              <w:top w:w="0" w:type="dxa"/>
              <w:left w:w="0" w:type="dxa"/>
              <w:bottom w:w="0" w:type="dxa"/>
              <w:right w:w="0" w:type="dxa"/>
            </w:tcMar>
            <w:vAlign w:val="center"/>
          </w:tcPr>
          <w:p>
            <w:pPr>
              <w:pStyle w:val="TableContents"/>
              <w:bidi w:val="0"/>
              <w:spacing w:before="80" w:after="283"/>
              <w:jc w:val="left"/>
              <w:rPr/>
            </w:pPr>
            <w:r>
              <w:rPr/>
              <w:t> </w:t>
            </w:r>
          </w:p>
        </w:tc>
        <w:tc>
          <w:tcPr>
            <w:tcW w:w="252" w:type="dxa"/>
            <w:tcBorders/>
            <w:tcMar>
              <w:top w:w="0" w:type="dxa"/>
              <w:left w:w="0" w:type="dxa"/>
              <w:bottom w:w="0" w:type="dxa"/>
              <w:right w:w="0" w:type="dxa"/>
            </w:tcMar>
            <w:vAlign w:val="center"/>
          </w:tcPr>
          <w:p>
            <w:pPr>
              <w:pStyle w:val="TableContents"/>
              <w:bidi w:val="0"/>
              <w:spacing w:before="8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80" w:after="283"/>
              <w:jc w:val="left"/>
              <w:rPr/>
            </w:pPr>
            <w:r>
              <w:rPr/>
              <w:t> </w:t>
            </w:r>
          </w:p>
        </w:tc>
      </w:tr>
      <w:tr>
        <w:trPr/>
        <w:tc>
          <w:tcPr>
            <w:tcW w:w="383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2"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38"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sz w:val="24"/>
              </w:rPr>
            </w:pPr>
            <w:r>
              <w:rPr>
                <w:rFonts w:ascii="Times New Roman" w:hAnsi="Times New Roman"/>
                <w:color w:val="141317"/>
                <w:sz w:val="24"/>
              </w:rPr>
              <w:t>(Witness</w:t>
            </w:r>
            <w:r>
              <w:rPr>
                <w:rFonts w:ascii="Times New Roman" w:hAnsi="Times New Roman"/>
                <w:color w:val="463634"/>
                <w:sz w:val="24"/>
              </w:rPr>
              <w:t xml:space="preserve">' </w:t>
            </w:r>
            <w:r>
              <w:rPr>
                <w:rFonts w:ascii="Times New Roman" w:hAnsi="Times New Roman"/>
                <w:color w:val="030103"/>
                <w:sz w:val="24"/>
              </w:rPr>
              <w:t>Name)</w:t>
            </w:r>
          </w:p>
        </w:tc>
        <w:tc>
          <w:tcPr>
            <w:tcW w:w="376" w:type="dxa"/>
            <w:tcBorders/>
            <w:tcMar>
              <w:top w:w="0" w:type="dxa"/>
              <w:left w:w="0" w:type="dxa"/>
              <w:bottom w:w="0" w:type="dxa"/>
              <w:right w:w="0" w:type="dxa"/>
            </w:tcMar>
            <w:vAlign w:val="center"/>
          </w:tcPr>
          <w:p>
            <w:pPr>
              <w:pStyle w:val="TableContents"/>
              <w:bidi w:val="0"/>
              <w:spacing w:before="20" w:after="283"/>
              <w:jc w:val="left"/>
              <w:rPr/>
            </w:pPr>
            <w:r>
              <w:rPr/>
              <w:t> </w:t>
            </w:r>
          </w:p>
        </w:tc>
        <w:tc>
          <w:tcPr>
            <w:tcW w:w="252" w:type="dxa"/>
            <w:tcBorders/>
            <w:tcMar>
              <w:top w:w="0" w:type="dxa"/>
              <w:left w:w="0" w:type="dxa"/>
              <w:bottom w:w="0" w:type="dxa"/>
              <w:right w:w="0" w:type="dxa"/>
            </w:tcMar>
            <w:vAlign w:val="center"/>
          </w:tcPr>
          <w:p>
            <w:pPr>
              <w:pStyle w:val="TableContents"/>
              <w:bidi w:val="0"/>
              <w:spacing w:before="2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20" w:after="283"/>
              <w:jc w:val="left"/>
              <w:rPr/>
            </w:pPr>
            <w:r>
              <w:rPr/>
              <w:t> </w:t>
            </w:r>
          </w:p>
        </w:tc>
      </w:tr>
      <w:tr>
        <w:trPr/>
        <w:tc>
          <w:tcPr>
            <w:tcW w:w="3838" w:type="dxa"/>
            <w:tcBorders/>
            <w:tcMar>
              <w:top w:w="0" w:type="dxa"/>
              <w:left w:w="0" w:type="dxa"/>
              <w:bottom w:w="0" w:type="dxa"/>
              <w:right w:w="0" w:type="dxa"/>
            </w:tcMar>
            <w:vAlign w:val="center"/>
          </w:tcPr>
          <w:p>
            <w:pPr>
              <w:pStyle w:val="TableContents"/>
              <w:bidi w:val="0"/>
              <w:spacing w:before="12" w:after="283"/>
              <w:jc w:val="left"/>
              <w:rPr/>
            </w:pPr>
            <w:r>
              <w:rPr/>
              <w:t> </w:t>
            </w:r>
          </w:p>
        </w:tc>
        <w:tc>
          <w:tcPr>
            <w:tcW w:w="376" w:type="dxa"/>
            <w:tcBorders/>
            <w:tcMar>
              <w:top w:w="0" w:type="dxa"/>
              <w:left w:w="0" w:type="dxa"/>
              <w:bottom w:w="0" w:type="dxa"/>
              <w:right w:w="0" w:type="dxa"/>
            </w:tcMar>
            <w:vAlign w:val="center"/>
          </w:tcPr>
          <w:p>
            <w:pPr>
              <w:pStyle w:val="TableContents"/>
              <w:bidi w:val="0"/>
              <w:spacing w:before="12" w:after="283"/>
              <w:jc w:val="left"/>
              <w:rPr/>
            </w:pPr>
            <w:r>
              <w:rPr/>
              <w:t> </w:t>
            </w:r>
          </w:p>
        </w:tc>
        <w:tc>
          <w:tcPr>
            <w:tcW w:w="252"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4466" w:type="dxa"/>
            <w:gridSpan w:val="3"/>
            <w:tcBorders/>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color w:val="030103"/>
                <w:sz w:val="24"/>
              </w:rPr>
            </w:pPr>
            <w:r>
              <w:rPr>
                <w:rFonts w:ascii="Times New Roman" w:hAnsi="Times New Roman"/>
                <w:color w:val="030103"/>
                <w:sz w:val="24"/>
              </w:rPr>
              <w:t>2466 Collins Drive, Worthington, OH 43085</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38" w:type="dxa"/>
            <w:tcBorders>
              <w:bottom w:val="single" w:sz="4" w:space="0" w:color="000000"/>
            </w:tcBorders>
            <w:tcMar>
              <w:top w:w="0" w:type="dxa"/>
              <w:left w:w="0" w:type="dxa"/>
              <w:right w:w="0" w:type="dxa"/>
            </w:tcMar>
            <w:vAlign w:val="center"/>
          </w:tcPr>
          <w:p>
            <w:pPr>
              <w:pStyle w:val="TableContents"/>
              <w:bidi w:val="0"/>
              <w:spacing w:before="12" w:after="283"/>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12" w:after="283"/>
              <w:jc w:val="left"/>
              <w:rPr/>
            </w:pPr>
            <w:r>
              <w:rPr/>
              <w:t> </w:t>
            </w:r>
          </w:p>
        </w:tc>
        <w:tc>
          <w:tcPr>
            <w:tcW w:w="252"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38"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sz w:val="24"/>
              </w:rPr>
            </w:pPr>
            <w:r>
              <w:rPr>
                <w:rFonts w:ascii="Times New Roman" w:hAnsi="Times New Roman"/>
                <w:color w:val="141317"/>
                <w:sz w:val="24"/>
              </w:rPr>
              <w:t>(Witness</w:t>
            </w:r>
            <w:r>
              <w:rPr>
                <w:rFonts w:ascii="Times New Roman" w:hAnsi="Times New Roman"/>
                <w:color w:val="463634"/>
                <w:sz w:val="24"/>
              </w:rPr>
              <w:t xml:space="preserve">' </w:t>
            </w:r>
            <w:r>
              <w:rPr>
                <w:rFonts w:ascii="Times New Roman" w:hAnsi="Times New Roman"/>
                <w:color w:val="030103"/>
                <w:sz w:val="24"/>
              </w:rPr>
              <w:t>Address)</w:t>
            </w:r>
          </w:p>
        </w:tc>
        <w:tc>
          <w:tcPr>
            <w:tcW w:w="376" w:type="dxa"/>
            <w:tcBorders/>
            <w:tcMar>
              <w:top w:w="0" w:type="dxa"/>
              <w:left w:w="0" w:type="dxa"/>
              <w:bottom w:w="0" w:type="dxa"/>
              <w:right w:w="0" w:type="dxa"/>
            </w:tcMar>
            <w:vAlign w:val="center"/>
          </w:tcPr>
          <w:p>
            <w:pPr>
              <w:pStyle w:val="TableContents"/>
              <w:bidi w:val="0"/>
              <w:spacing w:before="20" w:after="283"/>
              <w:jc w:val="left"/>
              <w:rPr/>
            </w:pPr>
            <w:r>
              <w:rPr/>
              <w:t> </w:t>
            </w:r>
          </w:p>
        </w:tc>
        <w:tc>
          <w:tcPr>
            <w:tcW w:w="252"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38" w:type="dxa"/>
            <w:tcBorders/>
            <w:tcMar>
              <w:top w:w="0" w:type="dxa"/>
              <w:left w:w="0" w:type="dxa"/>
              <w:bottom w:w="0" w:type="dxa"/>
              <w:right w:w="0" w:type="dxa"/>
            </w:tcMar>
            <w:vAlign w:val="center"/>
          </w:tcPr>
          <w:p>
            <w:pPr>
              <w:pStyle w:val="TableContents"/>
              <w:bidi w:val="0"/>
              <w:spacing w:before="12" w:after="283"/>
              <w:jc w:val="left"/>
              <w:rPr/>
            </w:pPr>
            <w:r>
              <w:rPr/>
              <w:t> </w:t>
            </w:r>
          </w:p>
        </w:tc>
        <w:tc>
          <w:tcPr>
            <w:tcW w:w="376" w:type="dxa"/>
            <w:tcBorders/>
            <w:tcMar>
              <w:top w:w="0" w:type="dxa"/>
              <w:left w:w="0" w:type="dxa"/>
              <w:bottom w:w="0" w:type="dxa"/>
              <w:right w:w="0" w:type="dxa"/>
            </w:tcMar>
            <w:vAlign w:val="center"/>
          </w:tcPr>
          <w:p>
            <w:pPr>
              <w:pStyle w:val="TableContents"/>
              <w:bidi w:val="0"/>
              <w:spacing w:before="12" w:after="283"/>
              <w:jc w:val="left"/>
              <w:rPr/>
            </w:pPr>
            <w:r>
              <w:rPr/>
              <w:t> </w:t>
            </w:r>
          </w:p>
        </w:tc>
        <w:tc>
          <w:tcPr>
            <w:tcW w:w="252"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3838" w:type="dxa"/>
            <w:tcBorders/>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color w:val="030103"/>
                <w:sz w:val="24"/>
              </w:rPr>
            </w:pPr>
            <w:r>
              <w:rPr>
                <w:rFonts w:ascii="Times New Roman" w:hAnsi="Times New Roman"/>
                <w:color w:val="030103"/>
                <w:sz w:val="24"/>
              </w:rPr>
              <w:t>Art Director</w:t>
            </w:r>
          </w:p>
        </w:tc>
        <w:tc>
          <w:tcPr>
            <w:tcW w:w="376"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252"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3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2"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38"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sz w:val="24"/>
              </w:rPr>
            </w:pPr>
            <w:r>
              <w:rPr>
                <w:rFonts w:ascii="Times New Roman" w:hAnsi="Times New Roman"/>
                <w:color w:val="141317"/>
                <w:sz w:val="24"/>
              </w:rPr>
              <w:t>(Witness</w:t>
            </w:r>
            <w:r>
              <w:rPr>
                <w:rFonts w:ascii="Times New Roman" w:hAnsi="Times New Roman"/>
                <w:color w:val="28283A"/>
                <w:sz w:val="24"/>
              </w:rPr>
              <w:t xml:space="preserve">' </w:t>
            </w:r>
            <w:r>
              <w:rPr>
                <w:rFonts w:ascii="Times New Roman" w:hAnsi="Times New Roman"/>
                <w:color w:val="030103"/>
                <w:sz w:val="24"/>
              </w:rPr>
              <w:t>Occupation)</w:t>
            </w:r>
          </w:p>
        </w:tc>
        <w:tc>
          <w:tcPr>
            <w:tcW w:w="376" w:type="dxa"/>
            <w:tcBorders/>
            <w:tcMar>
              <w:top w:w="0" w:type="dxa"/>
              <w:left w:w="0" w:type="dxa"/>
              <w:bottom w:w="0" w:type="dxa"/>
              <w:right w:w="0" w:type="dxa"/>
            </w:tcMar>
            <w:vAlign w:val="center"/>
          </w:tcPr>
          <w:p>
            <w:pPr>
              <w:pStyle w:val="TableContents"/>
              <w:bidi w:val="0"/>
              <w:spacing w:before="20" w:after="283"/>
              <w:jc w:val="left"/>
              <w:rPr/>
            </w:pPr>
            <w:r>
              <w:rPr/>
              <w:t> </w:t>
            </w:r>
          </w:p>
        </w:tc>
        <w:tc>
          <w:tcPr>
            <w:tcW w:w="252" w:type="dxa"/>
            <w:tcBorders/>
            <w:tcMar>
              <w:top w:w="0" w:type="dxa"/>
              <w:left w:w="0" w:type="dxa"/>
              <w:bottom w:w="0" w:type="dxa"/>
              <w:right w:w="0" w:type="dxa"/>
            </w:tcMar>
            <w:vAlign w:val="center"/>
          </w:tcPr>
          <w:p>
            <w:pPr>
              <w:pStyle w:val="TableContents"/>
              <w:bidi w:val="0"/>
              <w:spacing w:before="2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2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sz w:val="22"/>
        </w:rPr>
      </w:pPr>
      <w:r>
        <w:rPr>
          <w:rFonts w:ascii="Times New Roman" w:hAnsi="Times New Roman"/>
          <w:i/>
          <w:color w:val="030103"/>
          <w:sz w:val="22"/>
        </w:rPr>
        <w:t xml:space="preserve">[Signature </w:t>
      </w:r>
      <w:r>
        <w:rPr>
          <w:rFonts w:ascii="Times New Roman" w:hAnsi="Times New Roman"/>
          <w:i/>
          <w:color w:val="151318"/>
          <w:sz w:val="22"/>
        </w:rPr>
        <w:t>Page to Deed of Amendment and Restatement]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938" w:type="dxa"/>
        <w:jc w:val="left"/>
        <w:tblInd w:w="0" w:type="dxa"/>
        <w:tblLayout w:type="fixed"/>
        <w:tblCellMar>
          <w:top w:w="28" w:type="dxa"/>
          <w:left w:w="28" w:type="dxa"/>
          <w:bottom w:w="28" w:type="dxa"/>
          <w:right w:w="28" w:type="dxa"/>
        </w:tblCellMar>
      </w:tblPr>
      <w:tblGrid>
        <w:gridCol w:w="4351"/>
        <w:gridCol w:w="146"/>
        <w:gridCol w:w="736"/>
        <w:gridCol w:w="3339"/>
        <w:gridCol w:w="366"/>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30303"/>
                <w:sz w:val="24"/>
              </w:rPr>
              <w:t>SIGNED</w:t>
            </w:r>
            <w:r>
              <w:rPr>
                <w:rFonts w:ascii="Times New Roman" w:hAnsi="Times New Roman"/>
                <w:color w:val="030303"/>
                <w:sz w:val="24"/>
              </w:rPr>
              <w:t xml:space="preserve"> </w:t>
            </w:r>
            <w:r>
              <w:rPr>
                <w:rFonts w:ascii="Times New Roman" w:hAnsi="Times New Roman"/>
                <w:b/>
                <w:color w:val="030303"/>
                <w:sz w:val="24"/>
              </w:rPr>
              <w:t>AND</w:t>
            </w:r>
            <w:r>
              <w:rPr>
                <w:rFonts w:ascii="Times New Roman" w:hAnsi="Times New Roman"/>
                <w:color w:val="030303"/>
                <w:sz w:val="24"/>
              </w:rPr>
              <w:t xml:space="preserve"> </w:t>
            </w:r>
            <w:r>
              <w:rPr>
                <w:rFonts w:ascii="Times New Roman" w:hAnsi="Times New Roman"/>
                <w:b/>
                <w:color w:val="030303"/>
                <w:sz w:val="24"/>
              </w:rPr>
              <w:t>DELIVERED</w:t>
            </w:r>
            <w:r>
              <w:rPr>
                <w:rFonts w:ascii="Times New Roman" w:hAnsi="Times New Roman"/>
                <w:color w:val="030303"/>
                <w:sz w:val="24"/>
              </w:rPr>
              <w:t xml:space="preserve"> as a </w:t>
            </w:r>
            <w:r>
              <w:rPr>
                <w:rFonts w:ascii="Times New Roman" w:hAnsi="Times New Roman"/>
                <w:b/>
                <w:color w:val="030303"/>
                <w:sz w:val="24"/>
              </w:rPr>
              <w:t>DEED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30303"/>
                <w:sz w:val="24"/>
              </w:rPr>
              <w:t>/s</w:t>
            </w:r>
            <w:r>
              <w:rPr>
                <w:rFonts w:ascii="Times New Roman" w:hAnsi="Times New Roman"/>
                <w:color w:val="201F25"/>
                <w:sz w:val="24"/>
              </w:rPr>
              <w:t xml:space="preserve">/ </w:t>
            </w:r>
            <w:r>
              <w:rPr>
                <w:rFonts w:ascii="Times New Roman" w:hAnsi="Times New Roman"/>
                <w:color w:val="030303"/>
                <w:sz w:val="24"/>
              </w:rPr>
              <w:t>Michael Coppola</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30303"/>
                <w:sz w:val="24"/>
              </w:rPr>
              <w:t xml:space="preserve">for and on behalf of </w:t>
            </w:r>
            <w:r>
              <w:rPr>
                <w:rFonts w:ascii="Times New Roman" w:hAnsi="Times New Roman"/>
                <w:b/>
                <w:color w:val="030303"/>
                <w:sz w:val="24"/>
              </w:rPr>
              <w:t xml:space="preserve">ASHLAND INC. </w:t>
            </w:r>
            <w:r>
              <w:rPr>
                <w:rFonts w:ascii="Times New Roman" w:hAnsi="Times New Roman"/>
                <w:color w:val="030303"/>
                <w:sz w:val="24"/>
              </w:rPr>
              <w:t>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3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30303"/>
                <w:sz w:val="24"/>
              </w:rPr>
            </w:pPr>
            <w:r>
              <w:rPr>
                <w:rFonts w:ascii="Times New Roman" w:hAnsi="Times New Roman"/>
                <w:color w:val="030303"/>
                <w:sz w:val="24"/>
              </w:rPr>
              <w:t>the Performance Guarantor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9" w:type="dxa"/>
            <w:tcBorders/>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30303"/>
                <w:sz w:val="24"/>
              </w:rPr>
            </w:pPr>
            <w:r>
              <w:rPr>
                <w:rFonts w:ascii="Times New Roman" w:hAnsi="Times New Roman"/>
                <w:color w:val="030303"/>
                <w:sz w:val="24"/>
              </w:rPr>
              <w:t>Name:</w:t>
            </w:r>
          </w:p>
        </w:tc>
        <w:tc>
          <w:tcPr>
            <w:tcW w:w="33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30303"/>
                <w:sz w:val="24"/>
              </w:rPr>
            </w:pPr>
            <w:r>
              <w:rPr>
                <w:rFonts w:ascii="Times New Roman" w:hAnsi="Times New Roman"/>
                <w:color w:val="030303"/>
                <w:sz w:val="24"/>
              </w:rPr>
              <w:t>Michael Coppola</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9" w:type="dxa"/>
            <w:tcBorders/>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30303"/>
                <w:sz w:val="24"/>
              </w:rPr>
              <w:t>Title</w:t>
            </w:r>
            <w:r>
              <w:rPr>
                <w:rFonts w:ascii="Times New Roman" w:hAnsi="Times New Roman"/>
                <w:color w:val="201F25"/>
                <w:sz w:val="24"/>
              </w:rPr>
              <w:t>:</w:t>
            </w:r>
          </w:p>
        </w:tc>
        <w:tc>
          <w:tcPr>
            <w:tcW w:w="37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30303"/>
                <w:sz w:val="24"/>
              </w:rPr>
              <w:t>Vice President</w:t>
            </w:r>
            <w:r>
              <w:rPr>
                <w:rFonts w:ascii="Times New Roman" w:hAnsi="Times New Roman"/>
                <w:color w:val="343034"/>
                <w:sz w:val="24"/>
              </w:rPr>
              <w:t xml:space="preserve">, </w:t>
            </w:r>
            <w:r>
              <w:rPr>
                <w:rFonts w:ascii="Times New Roman" w:hAnsi="Times New Roman"/>
                <w:color w:val="030303"/>
                <w:sz w:val="24"/>
              </w:rPr>
              <w:t>Finance and Treasury</w:t>
            </w:r>
          </w:p>
        </w:tc>
      </w:tr>
    </w:tbl>
    <w:p>
      <w:pPr>
        <w:pStyle w:val="TextBody"/>
        <w:bidi w:val="0"/>
        <w:jc w:val="left"/>
        <w:rPr/>
      </w:pPr>
      <w:r>
        <w:rPr/>
        <w:t> </w:t>
      </w:r>
    </w:p>
    <w:p>
      <w:pPr>
        <w:pStyle w:val="TextBody"/>
        <w:bidi w:val="0"/>
        <w:spacing w:before="240" w:after="283"/>
        <w:jc w:val="center"/>
        <w:rPr>
          <w:rFonts w:ascii="Times New Roman" w:hAnsi="Times New Roman"/>
          <w:sz w:val="22"/>
        </w:rPr>
      </w:pPr>
      <w:r>
        <w:rPr>
          <w:rFonts w:ascii="Times New Roman" w:hAnsi="Times New Roman"/>
          <w:i/>
          <w:color w:val="030103"/>
          <w:sz w:val="22"/>
        </w:rPr>
        <w:t xml:space="preserve">[Signature </w:t>
      </w:r>
      <w:r>
        <w:rPr>
          <w:rFonts w:ascii="Times New Roman" w:hAnsi="Times New Roman"/>
          <w:i/>
          <w:color w:val="151318"/>
          <w:sz w:val="22"/>
        </w:rPr>
        <w:t>Page to Deed of Amendment and Restatement]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102" w:type="dxa"/>
        <w:jc w:val="left"/>
        <w:tblInd w:w="0" w:type="dxa"/>
        <w:tblLayout w:type="fixed"/>
        <w:tblCellMar>
          <w:top w:w="28" w:type="dxa"/>
          <w:left w:w="28" w:type="dxa"/>
          <w:bottom w:w="28" w:type="dxa"/>
          <w:right w:w="28" w:type="dxa"/>
        </w:tblCellMar>
      </w:tblPr>
      <w:tblGrid>
        <w:gridCol w:w="5146"/>
        <w:gridCol w:w="146"/>
        <w:gridCol w:w="3463"/>
        <w:gridCol w:w="347"/>
      </w:tblGrid>
      <w:tr>
        <w:trP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5146"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10101"/>
                <w:sz w:val="24"/>
              </w:rPr>
              <w:t>SIGNED</w:t>
            </w:r>
            <w:r>
              <w:rPr>
                <w:rFonts w:ascii="Times New Roman" w:hAnsi="Times New Roman"/>
                <w:color w:val="010101"/>
                <w:sz w:val="24"/>
              </w:rPr>
              <w:t xml:space="preserve"> </w:t>
            </w:r>
            <w:r>
              <w:rPr>
                <w:rFonts w:ascii="Times New Roman" w:hAnsi="Times New Roman"/>
                <w:b/>
                <w:color w:val="010101"/>
                <w:sz w:val="24"/>
              </w:rPr>
              <w:t>AND</w:t>
            </w:r>
            <w:r>
              <w:rPr>
                <w:rFonts w:ascii="Times New Roman" w:hAnsi="Times New Roman"/>
                <w:color w:val="010101"/>
                <w:sz w:val="24"/>
              </w:rPr>
              <w:t xml:space="preserve"> </w:t>
            </w:r>
            <w:r>
              <w:rPr>
                <w:rFonts w:ascii="Times New Roman" w:hAnsi="Times New Roman"/>
                <w:b/>
                <w:color w:val="010101"/>
                <w:sz w:val="24"/>
              </w:rPr>
              <w:t>DELIVERED</w:t>
            </w:r>
            <w:r>
              <w:rPr>
                <w:rFonts w:ascii="Times New Roman" w:hAnsi="Times New Roman"/>
                <w:color w:val="010101"/>
                <w:sz w:val="24"/>
              </w:rPr>
              <w:t xml:space="preserve"> as a </w:t>
            </w:r>
            <w:r>
              <w:rPr>
                <w:rFonts w:ascii="Times New Roman" w:hAnsi="Times New Roman"/>
                <w:b/>
                <w:color w:val="010101"/>
                <w:sz w:val="24"/>
              </w:rPr>
              <w:t>DEED</w:t>
            </w:r>
          </w:p>
          <w:p>
            <w:pPr>
              <w:pStyle w:val="TableContents"/>
              <w:bidi w:val="0"/>
              <w:spacing w:before="0" w:after="283"/>
              <w:jc w:val="left"/>
              <w:rPr>
                <w:rFonts w:ascii="Times New Roman" w:hAnsi="Times New Roman"/>
                <w:sz w:val="24"/>
              </w:rPr>
            </w:pPr>
            <w:r>
              <w:rPr>
                <w:rFonts w:ascii="Times New Roman" w:hAnsi="Times New Roman"/>
                <w:color w:val="010101"/>
                <w:sz w:val="24"/>
              </w:rPr>
              <w:t xml:space="preserve">for and on behalf of </w:t>
            </w:r>
            <w:r>
              <w:rPr>
                <w:rFonts w:ascii="Times New Roman" w:hAnsi="Times New Roman"/>
                <w:b/>
                <w:color w:val="010101"/>
                <w:sz w:val="24"/>
              </w:rPr>
              <w:t xml:space="preserve">ASHLAND INDUSTRIES </w:t>
              <w:br/>
              <w:t>FRANCE</w:t>
            </w:r>
            <w:r>
              <w:rPr>
                <w:rFonts w:ascii="Times New Roman" w:hAnsi="Times New Roman"/>
                <w:color w:val="010101"/>
                <w:sz w:val="24"/>
              </w:rPr>
              <w:t xml:space="preserve"> </w:t>
            </w:r>
            <w:r>
              <w:rPr>
                <w:rFonts w:ascii="Times New Roman" w:hAnsi="Times New Roman"/>
                <w:b/>
                <w:color w:val="010101"/>
                <w:sz w:val="24"/>
              </w:rPr>
              <w:t>SAS</w:t>
            </w:r>
            <w:r>
              <w:rPr>
                <w:rFonts w:ascii="Times New Roman" w:hAnsi="Times New Roman"/>
                <w:color w:val="010101"/>
                <w:sz w:val="24"/>
              </w:rPr>
              <w:t xml:space="preserve"> as the French Originator and French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3" w:type="dxa"/>
            <w:tcBorders/>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10101"/>
                <w:sz w:val="24"/>
              </w:rPr>
            </w:pPr>
            <w:r>
              <w:rPr>
                <w:rFonts w:ascii="Times New Roman" w:hAnsi="Times New Roman"/>
                <w:color w:val="010101"/>
                <w:sz w:val="24"/>
              </w:rPr>
              <w:t>Sub-Servicer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151317"/>
                <w:sz w:val="24"/>
              </w:rPr>
              <w:t xml:space="preserve">/s/ </w:t>
            </w:r>
            <w:r>
              <w:rPr>
                <w:rFonts w:ascii="Times New Roman" w:hAnsi="Times New Roman"/>
                <w:color w:val="010101"/>
                <w:sz w:val="24"/>
              </w:rPr>
              <w:t>Kevin Higgins</w:t>
            </w:r>
          </w:p>
        </w:tc>
        <w:tc>
          <w:tcPr>
            <w:tcW w:w="3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3" w:type="dxa"/>
            <w:tcBorders/>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10101"/>
                <w:sz w:val="24"/>
              </w:rPr>
            </w:pPr>
            <w:r>
              <w:rPr>
                <w:rFonts w:ascii="Times New Roman" w:hAnsi="Times New Roman"/>
                <w:color w:val="010101"/>
                <w:sz w:val="24"/>
              </w:rPr>
              <w:t>By: Kevin Higgins</w:t>
            </w:r>
          </w:p>
        </w:tc>
        <w:tc>
          <w:tcPr>
            <w:tcW w:w="3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3" w:type="dxa"/>
            <w:tcBorders/>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10101"/>
                <w:sz w:val="24"/>
              </w:rPr>
            </w:pPr>
            <w:r>
              <w:rPr>
                <w:rFonts w:ascii="Times New Roman" w:hAnsi="Times New Roman"/>
                <w:color w:val="010101"/>
                <w:sz w:val="24"/>
              </w:rPr>
              <w:t>Duly authorised for the purpose hereof</w:t>
            </w:r>
          </w:p>
        </w:tc>
      </w:tr>
    </w:tbl>
    <w:p>
      <w:pPr>
        <w:pStyle w:val="TextBody"/>
        <w:bidi w:val="0"/>
        <w:jc w:val="left"/>
        <w:rPr/>
      </w:pPr>
      <w:r>
        <w:rPr/>
        <w:t> </w:t>
      </w:r>
    </w:p>
    <w:p>
      <w:pPr>
        <w:pStyle w:val="TextBody"/>
        <w:bidi w:val="0"/>
        <w:spacing w:before="240" w:after="283"/>
        <w:jc w:val="center"/>
        <w:rPr>
          <w:rFonts w:ascii="Times New Roman" w:hAnsi="Times New Roman"/>
          <w:sz w:val="22"/>
        </w:rPr>
      </w:pPr>
      <w:r>
        <w:rPr>
          <w:rFonts w:ascii="Times New Roman" w:hAnsi="Times New Roman"/>
          <w:i/>
          <w:color w:val="030103"/>
          <w:sz w:val="22"/>
        </w:rPr>
        <w:t xml:space="preserve">[Signature </w:t>
      </w:r>
      <w:r>
        <w:rPr>
          <w:rFonts w:ascii="Times New Roman" w:hAnsi="Times New Roman"/>
          <w:i/>
          <w:color w:val="151318"/>
          <w:sz w:val="22"/>
        </w:rPr>
        <w:t>Page to Deed of Amendment and Restatement]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01"/>
        <w:gridCol w:w="146"/>
        <w:gridCol w:w="1666"/>
        <w:gridCol w:w="192"/>
      </w:tblGrid>
      <w:tr>
        <w:trPr/>
        <w:tc>
          <w:tcPr>
            <w:tcW w:w="8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82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sz w:val="24"/>
              </w:rPr>
            </w:pPr>
            <w:r>
              <w:rPr>
                <w:rFonts w:ascii="Times New Roman" w:hAnsi="Times New Roman"/>
                <w:b/>
                <w:color w:val="030305"/>
                <w:sz w:val="24"/>
              </w:rPr>
              <w:t>SIGNED</w:t>
            </w:r>
            <w:r>
              <w:rPr>
                <w:rFonts w:ascii="Times New Roman" w:hAnsi="Times New Roman"/>
                <w:color w:val="030305"/>
                <w:sz w:val="24"/>
              </w:rPr>
              <w:t xml:space="preserve"> </w:t>
            </w:r>
            <w:r>
              <w:rPr>
                <w:rFonts w:ascii="Times New Roman" w:hAnsi="Times New Roman"/>
                <w:b/>
                <w:color w:val="030305"/>
                <w:sz w:val="24"/>
              </w:rPr>
              <w:t>AND</w:t>
            </w:r>
            <w:r>
              <w:rPr>
                <w:rFonts w:ascii="Times New Roman" w:hAnsi="Times New Roman"/>
                <w:color w:val="030305"/>
                <w:sz w:val="24"/>
              </w:rPr>
              <w:t xml:space="preserve"> </w:t>
            </w:r>
            <w:r>
              <w:rPr>
                <w:rFonts w:ascii="Times New Roman" w:hAnsi="Times New Roman"/>
                <w:b/>
                <w:color w:val="030305"/>
                <w:sz w:val="24"/>
              </w:rPr>
              <w:t>DELIVERED</w:t>
            </w:r>
            <w:r>
              <w:rPr>
                <w:rFonts w:ascii="Times New Roman" w:hAnsi="Times New Roman"/>
                <w:color w:val="030305"/>
                <w:sz w:val="24"/>
              </w:rPr>
              <w:t xml:space="preserve"> as a </w:t>
            </w:r>
            <w:r>
              <w:rPr>
                <w:rFonts w:ascii="Times New Roman" w:hAnsi="Times New Roman"/>
                <w:b/>
                <w:color w:val="030305"/>
                <w:sz w:val="24"/>
              </w:rPr>
              <w:t>DEED</w:t>
            </w:r>
          </w:p>
          <w:p>
            <w:pPr>
              <w:pStyle w:val="TableContents"/>
              <w:bidi w:val="0"/>
              <w:spacing w:before="40" w:after="283"/>
              <w:jc w:val="left"/>
              <w:rPr>
                <w:rFonts w:ascii="Times New Roman" w:hAnsi="Times New Roman"/>
                <w:sz w:val="24"/>
              </w:rPr>
            </w:pPr>
            <w:r>
              <w:rPr>
                <w:rFonts w:ascii="Times New Roman" w:hAnsi="Times New Roman"/>
                <w:color w:val="030305"/>
                <w:sz w:val="24"/>
              </w:rPr>
              <w:t xml:space="preserve">for and on behalf of </w:t>
            </w:r>
            <w:r>
              <w:rPr>
                <w:rFonts w:ascii="Times New Roman" w:hAnsi="Times New Roman"/>
                <w:b/>
                <w:color w:val="030305"/>
                <w:sz w:val="24"/>
              </w:rPr>
              <w:t>ASHLAND INDUSTRIES DEUTSCHLAND</w:t>
            </w:r>
            <w:r>
              <w:rPr>
                <w:rFonts w:ascii="Times New Roman" w:hAnsi="Times New Roman"/>
                <w:color w:val="030305"/>
                <w:sz w:val="24"/>
              </w:rPr>
              <w:t xml:space="preserve"> </w:t>
            </w:r>
            <w:r>
              <w:rPr>
                <w:rFonts w:ascii="Times New Roman" w:hAnsi="Times New Roman"/>
                <w:b/>
                <w:color w:val="030305"/>
                <w:sz w:val="24"/>
              </w:rPr>
              <w:t>GMBH</w:t>
            </w:r>
            <w:r>
              <w:rPr>
                <w:rFonts w:ascii="Times New Roman" w:hAnsi="Times New Roman"/>
                <w:color w:val="030305"/>
                <w:sz w:val="24"/>
              </w:rPr>
              <w:t xml:space="preserve"> as the German Originator</w:t>
            </w:r>
            <w:r>
              <w:rPr>
                <w:rFonts w:ascii="Times New Roman" w:hAnsi="Times New Roman"/>
                <w:color w:val="332833"/>
                <w:sz w:val="24"/>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30305"/>
                <w:sz w:val="24"/>
              </w:rPr>
            </w:pPr>
            <w:r>
              <w:rPr>
                <w:rFonts w:ascii="Times New Roman" w:hAnsi="Times New Roman"/>
                <w:color w:val="030305"/>
                <w:sz w:val="24"/>
              </w:rPr>
              <w:t>German Sub-Servicer and Subordinated Lender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151317"/>
                <w:sz w:val="24"/>
              </w:rPr>
              <w:t xml:space="preserve">/s/ </w:t>
            </w:r>
            <w:r>
              <w:rPr>
                <w:rFonts w:ascii="Times New Roman" w:hAnsi="Times New Roman"/>
                <w:color w:val="010101"/>
                <w:sz w:val="24"/>
              </w:rPr>
              <w:t>Kevin Higgins</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10101"/>
                <w:sz w:val="24"/>
              </w:rPr>
            </w:pPr>
            <w:r>
              <w:rPr>
                <w:rFonts w:ascii="Times New Roman" w:hAnsi="Times New Roman"/>
                <w:color w:val="010101"/>
                <w:sz w:val="24"/>
              </w:rPr>
              <w:t>By: Kevin Higgins</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30305"/>
                <w:sz w:val="24"/>
              </w:rPr>
              <w:t>Title</w:t>
            </w:r>
            <w:r>
              <w:rPr>
                <w:rFonts w:ascii="Times New Roman" w:hAnsi="Times New Roman"/>
                <w:color w:val="332833"/>
                <w:sz w:val="24"/>
              </w:rPr>
              <w:t xml:space="preserve">: </w:t>
            </w:r>
            <w:r>
              <w:rPr>
                <w:rFonts w:ascii="Times New Roman" w:hAnsi="Times New Roman"/>
                <w:color w:val="030305"/>
                <w:sz w:val="24"/>
              </w:rPr>
              <w:t>Director</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sz w:val="22"/>
        </w:rPr>
      </w:pPr>
      <w:r>
        <w:rPr>
          <w:rFonts w:ascii="Times New Roman" w:hAnsi="Times New Roman"/>
          <w:i/>
          <w:color w:val="030103"/>
          <w:sz w:val="22"/>
        </w:rPr>
        <w:t xml:space="preserve">[Signature </w:t>
      </w:r>
      <w:r>
        <w:rPr>
          <w:rFonts w:ascii="Times New Roman" w:hAnsi="Times New Roman"/>
          <w:i/>
          <w:color w:val="151318"/>
          <w:sz w:val="22"/>
        </w:rPr>
        <w:t>Page to Deed of Amendment and Restatement]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356" w:type="dxa"/>
        <w:jc w:val="left"/>
        <w:tblInd w:w="0" w:type="dxa"/>
        <w:tblLayout w:type="fixed"/>
        <w:tblCellMar>
          <w:top w:w="28" w:type="dxa"/>
          <w:left w:w="28" w:type="dxa"/>
          <w:bottom w:w="28" w:type="dxa"/>
          <w:right w:w="28" w:type="dxa"/>
        </w:tblCellMar>
      </w:tblPr>
      <w:tblGrid>
        <w:gridCol w:w="5041"/>
        <w:gridCol w:w="146"/>
        <w:gridCol w:w="1906"/>
        <w:gridCol w:w="263"/>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10103"/>
                <w:sz w:val="24"/>
              </w:rPr>
              <w:t xml:space="preserve">SIGNED AND DELIVERED </w:t>
            </w:r>
            <w:r>
              <w:rPr>
                <w:rFonts w:ascii="Times New Roman" w:hAnsi="Times New Roman"/>
                <w:color w:val="010103"/>
                <w:sz w:val="24"/>
              </w:rPr>
              <w:t xml:space="preserve">as a </w:t>
            </w:r>
            <w:r>
              <w:rPr>
                <w:rFonts w:ascii="Times New Roman" w:hAnsi="Times New Roman"/>
                <w:b/>
                <w:color w:val="010103"/>
                <w:sz w:val="24"/>
              </w:rPr>
              <w:t>DEED</w:t>
            </w:r>
          </w:p>
          <w:p>
            <w:pPr>
              <w:pStyle w:val="TableContents"/>
              <w:bidi w:val="0"/>
              <w:jc w:val="left"/>
              <w:rPr>
                <w:rFonts w:ascii="Times New Roman" w:hAnsi="Times New Roman"/>
                <w:sz w:val="24"/>
              </w:rPr>
            </w:pPr>
            <w:r>
              <w:rPr>
                <w:rFonts w:ascii="Times New Roman" w:hAnsi="Times New Roman"/>
                <w:color w:val="010103"/>
                <w:sz w:val="24"/>
              </w:rPr>
              <w:t xml:space="preserve">for and on behalf of </w:t>
            </w:r>
            <w:r>
              <w:rPr>
                <w:rFonts w:ascii="Times New Roman" w:hAnsi="Times New Roman"/>
                <w:b/>
                <w:color w:val="010103"/>
                <w:sz w:val="24"/>
              </w:rPr>
              <w:t>ASHLAND INDUSTRIES</w:t>
            </w:r>
          </w:p>
          <w:p>
            <w:pPr>
              <w:pStyle w:val="TableContents"/>
              <w:bidi w:val="0"/>
              <w:spacing w:before="0" w:after="283"/>
              <w:jc w:val="left"/>
              <w:rPr>
                <w:rFonts w:ascii="Times New Roman" w:hAnsi="Times New Roman"/>
                <w:sz w:val="24"/>
              </w:rPr>
            </w:pPr>
            <w:r>
              <w:rPr>
                <w:rFonts w:ascii="Times New Roman" w:hAnsi="Times New Roman"/>
                <w:b/>
                <w:color w:val="010103"/>
                <w:sz w:val="24"/>
              </w:rPr>
              <w:t xml:space="preserve">ITALIA S.R.L. </w:t>
            </w:r>
            <w:r>
              <w:rPr>
                <w:rFonts w:ascii="Times New Roman" w:hAnsi="Times New Roman"/>
                <w:color w:val="010103"/>
                <w:sz w:val="24"/>
              </w:rPr>
              <w:t>as the Italian Originator and Italian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r>
      <w:tr>
        <w:trPr/>
        <w:tc>
          <w:tcPr>
            <w:tcW w:w="5041" w:type="dxa"/>
            <w:tcBorders/>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color w:val="030305"/>
                <w:sz w:val="24"/>
              </w:rPr>
            </w:pPr>
            <w:r>
              <w:rPr>
                <w:rFonts w:ascii="Times New Roman" w:hAnsi="Times New Roman"/>
                <w:color w:val="030305"/>
                <w:sz w:val="24"/>
              </w:rPr>
              <w:t>Sub-Servicer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151317"/>
                <w:sz w:val="24"/>
              </w:rPr>
              <w:t xml:space="preserve">/s/ </w:t>
            </w:r>
            <w:r>
              <w:rPr>
                <w:rFonts w:ascii="Times New Roman" w:hAnsi="Times New Roman"/>
                <w:color w:val="010101"/>
                <w:sz w:val="24"/>
              </w:rPr>
              <w:t>Kevin Higgins</w:t>
            </w:r>
          </w:p>
        </w:tc>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10101"/>
                <w:sz w:val="24"/>
              </w:rPr>
            </w:pPr>
            <w:r>
              <w:rPr>
                <w:rFonts w:ascii="Times New Roman" w:hAnsi="Times New Roman"/>
                <w:color w:val="010101"/>
                <w:sz w:val="24"/>
              </w:rPr>
              <w:t>By: Kevin Higgins</w:t>
            </w:r>
          </w:p>
        </w:tc>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30305"/>
                <w:sz w:val="24"/>
              </w:rPr>
              <w:t>Title</w:t>
            </w:r>
            <w:r>
              <w:rPr>
                <w:rFonts w:ascii="Times New Roman" w:hAnsi="Times New Roman"/>
                <w:color w:val="332833"/>
                <w:sz w:val="24"/>
              </w:rPr>
              <w:t xml:space="preserve">: </w:t>
            </w:r>
            <w:r>
              <w:rPr>
                <w:rFonts w:ascii="Times New Roman" w:hAnsi="Times New Roman"/>
                <w:color w:val="030305"/>
                <w:sz w:val="24"/>
              </w:rPr>
              <w:t>Director</w:t>
            </w:r>
          </w:p>
        </w:tc>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sz w:val="22"/>
        </w:rPr>
      </w:pPr>
      <w:r>
        <w:rPr>
          <w:rFonts w:ascii="Times New Roman" w:hAnsi="Times New Roman"/>
          <w:i/>
          <w:color w:val="030103"/>
          <w:sz w:val="22"/>
        </w:rPr>
        <w:t xml:space="preserve">[Signature </w:t>
      </w:r>
      <w:r>
        <w:rPr>
          <w:rFonts w:ascii="Times New Roman" w:hAnsi="Times New Roman"/>
          <w:i/>
          <w:color w:val="151318"/>
          <w:sz w:val="22"/>
        </w:rPr>
        <w:t>Page to Deed of Amendment and Restatement]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87"/>
        <w:gridCol w:w="491"/>
        <w:gridCol w:w="146"/>
        <w:gridCol w:w="454"/>
        <w:gridCol w:w="1433"/>
        <w:gridCol w:w="194"/>
      </w:tblGrid>
      <w:tr>
        <w:trPr/>
        <w:tc>
          <w:tcPr>
            <w:tcW w:w="748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978" w:type="dxa"/>
            <w:gridSpan w:val="2"/>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60506"/>
                <w:sz w:val="24"/>
              </w:rPr>
              <w:t>SIGNED</w:t>
            </w:r>
            <w:r>
              <w:rPr>
                <w:rFonts w:ascii="Times New Roman" w:hAnsi="Times New Roman"/>
                <w:color w:val="060506"/>
                <w:sz w:val="24"/>
              </w:rPr>
              <w:t xml:space="preserve"> </w:t>
            </w:r>
            <w:r>
              <w:rPr>
                <w:rFonts w:ascii="Times New Roman" w:hAnsi="Times New Roman"/>
                <w:b/>
                <w:color w:val="060506"/>
                <w:sz w:val="24"/>
              </w:rPr>
              <w:t>AND</w:t>
            </w:r>
            <w:r>
              <w:rPr>
                <w:rFonts w:ascii="Times New Roman" w:hAnsi="Times New Roman"/>
                <w:color w:val="060506"/>
                <w:sz w:val="24"/>
              </w:rPr>
              <w:t xml:space="preserve"> </w:t>
            </w:r>
            <w:r>
              <w:rPr>
                <w:rFonts w:ascii="Times New Roman" w:hAnsi="Times New Roman"/>
                <w:b/>
                <w:color w:val="060506"/>
                <w:sz w:val="24"/>
              </w:rPr>
              <w:t>DELIVERED</w:t>
            </w:r>
            <w:r>
              <w:rPr>
                <w:rFonts w:ascii="Times New Roman" w:hAnsi="Times New Roman"/>
                <w:color w:val="060506"/>
                <w:sz w:val="24"/>
              </w:rPr>
              <w:t xml:space="preserve"> as a </w:t>
            </w:r>
            <w:r>
              <w:rPr>
                <w:rFonts w:ascii="Times New Roman" w:hAnsi="Times New Roman"/>
                <w:b/>
                <w:color w:val="060506"/>
                <w:sz w:val="24"/>
              </w:rPr>
              <w:t>DEED</w:t>
            </w:r>
          </w:p>
          <w:p>
            <w:pPr>
              <w:pStyle w:val="TableContents"/>
              <w:bidi w:val="0"/>
              <w:jc w:val="left"/>
              <w:rPr>
                <w:rFonts w:ascii="Times New Roman" w:hAnsi="Times New Roman"/>
                <w:sz w:val="24"/>
              </w:rPr>
            </w:pPr>
            <w:r>
              <w:rPr>
                <w:rFonts w:ascii="Times New Roman" w:hAnsi="Times New Roman"/>
                <w:color w:val="060506"/>
                <w:sz w:val="24"/>
              </w:rPr>
              <w:t xml:space="preserve">for and on behalf of </w:t>
            </w:r>
            <w:r>
              <w:rPr>
                <w:rFonts w:ascii="Times New Roman" w:hAnsi="Times New Roman"/>
                <w:b/>
                <w:color w:val="060506"/>
                <w:sz w:val="24"/>
              </w:rPr>
              <w:t xml:space="preserve">ASHLAND SPECIALTY </w:t>
              <w:br/>
              <w:t>CHEMICAL</w:t>
            </w:r>
            <w:r>
              <w:rPr>
                <w:rFonts w:ascii="Times New Roman" w:hAnsi="Times New Roman"/>
                <w:color w:val="060506"/>
                <w:sz w:val="24"/>
              </w:rPr>
              <w:t xml:space="preserve"> </w:t>
            </w:r>
            <w:r>
              <w:rPr>
                <w:rFonts w:ascii="Times New Roman" w:hAnsi="Times New Roman"/>
                <w:b/>
                <w:color w:val="060506"/>
                <w:sz w:val="24"/>
              </w:rPr>
              <w:t>(SINGAPORE)</w:t>
            </w:r>
            <w:r>
              <w:rPr>
                <w:rFonts w:ascii="Times New Roman" w:hAnsi="Times New Roman"/>
                <w:color w:val="060506"/>
                <w:sz w:val="24"/>
              </w:rPr>
              <w:t xml:space="preserve"> </w:t>
            </w:r>
            <w:r>
              <w:rPr>
                <w:rFonts w:ascii="Times New Roman" w:hAnsi="Times New Roman"/>
                <w:b/>
                <w:color w:val="060506"/>
                <w:sz w:val="24"/>
              </w:rPr>
              <w:t>PTE.</w:t>
            </w:r>
            <w:r>
              <w:rPr>
                <w:rFonts w:ascii="Times New Roman" w:hAnsi="Times New Roman"/>
                <w:color w:val="060506"/>
                <w:sz w:val="24"/>
              </w:rPr>
              <w:t xml:space="preserve"> </w:t>
            </w:r>
            <w:r>
              <w:rPr>
                <w:rFonts w:ascii="Times New Roman" w:hAnsi="Times New Roman"/>
                <w:b/>
                <w:color w:val="060506"/>
                <w:sz w:val="24"/>
              </w:rPr>
              <w:t>LTD</w:t>
            </w:r>
            <w:r>
              <w:rPr>
                <w:rFonts w:ascii="Times New Roman" w:hAnsi="Times New Roman"/>
                <w:b/>
                <w:color w:val="222225"/>
                <w:sz w:val="24"/>
              </w:rPr>
              <w:t>.</w:t>
            </w:r>
            <w:r>
              <w:rPr>
                <w:rFonts w:ascii="Times New Roman" w:hAnsi="Times New Roman"/>
                <w:color w:val="222225"/>
                <w:sz w:val="24"/>
              </w:rPr>
              <w:t xml:space="preserve"> </w:t>
            </w:r>
            <w:r>
              <w:rPr>
                <w:rFonts w:ascii="Times New Roman" w:hAnsi="Times New Roman"/>
                <w:color w:val="060506"/>
                <w:sz w:val="24"/>
              </w:rPr>
              <w:t>as the</w:t>
            </w:r>
          </w:p>
          <w:p>
            <w:pPr>
              <w:pStyle w:val="TableContents"/>
              <w:bidi w:val="0"/>
              <w:spacing w:before="0" w:after="283"/>
              <w:jc w:val="left"/>
              <w:rPr>
                <w:rFonts w:ascii="Times New Roman" w:hAnsi="Times New Roman"/>
                <w:sz w:val="24"/>
              </w:rPr>
            </w:pPr>
            <w:r>
              <w:rPr>
                <w:rFonts w:ascii="Times New Roman" w:hAnsi="Times New Roman"/>
                <w:color w:val="060506"/>
                <w:sz w:val="24"/>
              </w:rPr>
              <w:t>Singaporean Originator and Singaporean Sub-Servicer</w:t>
            </w:r>
            <w:r>
              <w:rPr>
                <w:rFonts w:ascii="Times New Roman" w:hAnsi="Times New Roman"/>
                <w:color w:val="222225"/>
                <w:sz w:val="24"/>
              </w:rPr>
              <w:t xml:space="preserve">, </w:t>
            </w:r>
            <w:r>
              <w:rPr>
                <w:rFonts w:ascii="Times New Roman" w:hAnsi="Times New Roman"/>
                <w:color w:val="060506"/>
                <w:sz w:val="24"/>
              </w:rPr>
              <w:t>acting by a Director in the presence of</w:t>
            </w:r>
            <w:r>
              <w:rPr>
                <w:rFonts w:ascii="Times New Roman" w:hAnsi="Times New Roman"/>
                <w:color w:val="222225"/>
                <w:sz w:val="24"/>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7"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7"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8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Kevin Higgins</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7"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7"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60506"/>
                <w:sz w:val="24"/>
              </w:rPr>
            </w:pPr>
            <w:r>
              <w:rPr>
                <w:rFonts w:ascii="Times New Roman" w:hAnsi="Times New Roman"/>
                <w:b/>
                <w:color w:val="060506"/>
                <w:sz w:val="24"/>
              </w:rPr>
              <w:t>By:</w:t>
            </w:r>
          </w:p>
        </w:tc>
        <w:tc>
          <w:tcPr>
            <w:tcW w:w="14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60506"/>
                <w:sz w:val="24"/>
              </w:rPr>
              <w:t>Kevin</w:t>
            </w:r>
            <w:r>
              <w:rPr>
                <w:rFonts w:ascii="Times New Roman" w:hAnsi="Times New Roman"/>
                <w:color w:val="060506"/>
                <w:sz w:val="24"/>
              </w:rPr>
              <w:t xml:space="preserve"> </w:t>
            </w:r>
            <w:r>
              <w:rPr>
                <w:rFonts w:ascii="Times New Roman" w:hAnsi="Times New Roman"/>
                <w:b/>
                <w:color w:val="060506"/>
                <w:sz w:val="24"/>
              </w:rPr>
              <w:t>Higgins</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7"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Elyse Higgins</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7"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(Witness’ Signature)</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7"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7"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Elyse Higgins</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(Witness’ Name)</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7"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7"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2466 Collins Drive, Worthington, OH 43085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(Witness’ Address)</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7" w:type="dxa"/>
            <w:tcBorders/>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 Director</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(Witness’ Occupation)</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sz w:val="22"/>
        </w:rPr>
      </w:pPr>
      <w:r>
        <w:rPr>
          <w:rFonts w:ascii="Times New Roman" w:hAnsi="Times New Roman"/>
          <w:i/>
          <w:color w:val="030103"/>
          <w:sz w:val="22"/>
        </w:rPr>
        <w:t xml:space="preserve">[Signature </w:t>
      </w:r>
      <w:r>
        <w:rPr>
          <w:rFonts w:ascii="Times New Roman" w:hAnsi="Times New Roman"/>
          <w:i/>
          <w:color w:val="151318"/>
          <w:sz w:val="22"/>
        </w:rPr>
        <w:t>Page to Deed of Amendment and Restatement]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005" w:type="dxa"/>
        <w:jc w:val="left"/>
        <w:tblInd w:w="0" w:type="dxa"/>
        <w:tblLayout w:type="fixed"/>
        <w:tblCellMar>
          <w:top w:w="28" w:type="dxa"/>
          <w:left w:w="28" w:type="dxa"/>
          <w:bottom w:w="28" w:type="dxa"/>
          <w:right w:w="28" w:type="dxa"/>
        </w:tblCellMar>
      </w:tblPr>
      <w:tblGrid>
        <w:gridCol w:w="4362"/>
        <w:gridCol w:w="286"/>
        <w:gridCol w:w="286"/>
        <w:gridCol w:w="2071"/>
      </w:tblGrid>
      <w:tr>
        <w:trPr/>
        <w:tc>
          <w:tcPr>
            <w:tcW w:w="436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rPr>
              <w:t xml:space="preserve">SIGNED AND DELIVERED </w:t>
            </w:r>
            <w:r>
              <w:rPr>
                <w:rFonts w:ascii="Times New Roman" w:hAnsi="Times New Roman"/>
                <w:color w:val="000000"/>
                <w:sz w:val="24"/>
              </w:rPr>
              <w:t xml:space="preserve">as a </w:t>
            </w:r>
            <w:r>
              <w:rPr>
                <w:rFonts w:ascii="Times New Roman" w:hAnsi="Times New Roman"/>
                <w:b/>
                <w:color w:val="000000"/>
                <w:sz w:val="24"/>
              </w:rPr>
              <w:t>DEED</w:t>
            </w:r>
          </w:p>
          <w:p>
            <w:pPr>
              <w:pStyle w:val="TableContents"/>
              <w:bidi w:val="0"/>
              <w:jc w:val="left"/>
              <w:rPr>
                <w:rFonts w:ascii="Times New Roman" w:hAnsi="Times New Roman"/>
                <w:sz w:val="24"/>
              </w:rPr>
            </w:pPr>
            <w:r>
              <w:rPr>
                <w:rFonts w:ascii="Times New Roman" w:hAnsi="Times New Roman"/>
                <w:color w:val="000000"/>
                <w:sz w:val="24"/>
              </w:rPr>
              <w:t xml:space="preserve">for and on behalf of </w:t>
            </w:r>
            <w:r>
              <w:rPr>
                <w:rFonts w:ascii="Times New Roman" w:hAnsi="Times New Roman"/>
                <w:b/>
                <w:color w:val="000000"/>
                <w:sz w:val="24"/>
              </w:rPr>
              <w:t>ASHLAND SPECIALTIES</w:t>
            </w:r>
          </w:p>
          <w:p>
            <w:pPr>
              <w:pStyle w:val="TableContents"/>
              <w:bidi w:val="0"/>
              <w:jc w:val="left"/>
              <w:rPr>
                <w:rFonts w:ascii="Times New Roman" w:hAnsi="Times New Roman"/>
                <w:sz w:val="24"/>
              </w:rPr>
            </w:pPr>
            <w:r>
              <w:rPr>
                <w:rFonts w:ascii="Times New Roman" w:hAnsi="Times New Roman"/>
                <w:b/>
                <w:color w:val="000000"/>
                <w:sz w:val="24"/>
              </w:rPr>
              <w:t>HISPANIA, S.L.U</w:t>
            </w:r>
            <w:r>
              <w:rPr>
                <w:rFonts w:ascii="Times New Roman" w:hAnsi="Times New Roman"/>
                <w:color w:val="000000"/>
                <w:sz w:val="24"/>
              </w:rPr>
              <w:t>. as the Spanish Originator and</w:t>
            </w:r>
          </w:p>
          <w:p>
            <w:pPr>
              <w:pStyle w:val="TableContents"/>
              <w:bidi w:val="0"/>
              <w:jc w:val="left"/>
              <w:rPr>
                <w:rFonts w:ascii="Times New Roman" w:hAnsi="Times New Roman"/>
                <w:color w:val="000000"/>
                <w:sz w:val="24"/>
              </w:rPr>
            </w:pPr>
            <w:r>
              <w:rPr>
                <w:rFonts w:ascii="Times New Roman" w:hAnsi="Times New Roman"/>
                <w:color w:val="000000"/>
                <w:sz w:val="24"/>
              </w:rPr>
              <w:t>Spanish Sub-Servicer by its lawfully appointed</w:t>
            </w:r>
          </w:p>
          <w:p>
            <w:pPr>
              <w:pStyle w:val="TableContents"/>
              <w:bidi w:val="0"/>
              <w:jc w:val="left"/>
              <w:rPr>
                <w:rFonts w:ascii="Times New Roman" w:hAnsi="Times New Roman"/>
                <w:color w:val="000000"/>
                <w:sz w:val="24"/>
              </w:rPr>
            </w:pPr>
            <w:r>
              <w:rPr>
                <w:rFonts w:ascii="Times New Roman" w:hAnsi="Times New Roman"/>
                <w:color w:val="000000"/>
                <w:sz w:val="24"/>
              </w:rPr>
              <w:t>attorney in the presence of:</w:t>
            </w:r>
          </w:p>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62"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/s/ Kevin Higgins</w:t>
            </w:r>
          </w:p>
          <w:p>
            <w:pPr>
              <w:pStyle w:val="TableContents"/>
              <w:bidi w:val="0"/>
              <w:spacing w:before="0" w:after="283"/>
              <w:jc w:val="left"/>
              <w:rPr/>
            </w:pPr>
            <w:r>
              <w:rPr/>
              <w:t> </w:t>
            </w:r>
          </w:p>
        </w:tc>
      </w:tr>
      <w:tr>
        <w:trPr/>
        <w:tc>
          <w:tcPr>
            <w:tcW w:w="4362"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Attorney signature </w:t>
            </w:r>
          </w:p>
        </w:tc>
      </w:tr>
      <w:tr>
        <w:trPr/>
        <w:tc>
          <w:tcPr>
            <w:tcW w:w="43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Elyse Higgins</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6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Kevin Higgins</w:t>
            </w:r>
          </w:p>
        </w:tc>
      </w:tr>
      <w:tr>
        <w:trPr/>
        <w:tc>
          <w:tcPr>
            <w:tcW w:w="43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(Witness’ Signature)</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Print Attorney name</w:t>
            </w:r>
          </w:p>
        </w:tc>
      </w:tr>
      <w:tr>
        <w:trPr/>
        <w:tc>
          <w:tcPr>
            <w:tcW w:w="4362"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6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Elyse Higgins </w:t>
            </w:r>
          </w:p>
        </w:tc>
        <w:tc>
          <w:tcPr>
            <w:tcW w:w="2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(Witness' Name)</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62"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4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2466 Collins Drive, Worthington, OH 43085</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6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(Witness' Address)</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62"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 Director</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62"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(Witness' Occupation)</w:t>
            </w:r>
          </w:p>
        </w:tc>
        <w:tc>
          <w:tcPr>
            <w:tcW w:w="28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240" w:after="283"/>
        <w:jc w:val="center"/>
        <w:rPr>
          <w:rFonts w:ascii="Times New Roman" w:hAnsi="Times New Roman"/>
          <w:sz w:val="22"/>
        </w:rPr>
      </w:pPr>
      <w:r>
        <w:rPr>
          <w:rFonts w:ascii="Times New Roman" w:hAnsi="Times New Roman"/>
          <w:i/>
          <w:color w:val="030103"/>
          <w:sz w:val="22"/>
        </w:rPr>
        <w:t xml:space="preserve">[Signature </w:t>
      </w:r>
      <w:r>
        <w:rPr>
          <w:rFonts w:ascii="Times New Roman" w:hAnsi="Times New Roman"/>
          <w:i/>
          <w:color w:val="151318"/>
          <w:sz w:val="22"/>
        </w:rPr>
        <w:t>Page to Deed of Amendment and Restatement]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37"/>
        <w:gridCol w:w="146"/>
        <w:gridCol w:w="1822"/>
      </w:tblGrid>
      <w:tr>
        <w:trPr/>
        <w:tc>
          <w:tcPr>
            <w:tcW w:w="8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r>
      <w:tr>
        <w:trPr/>
        <w:tc>
          <w:tcPr>
            <w:tcW w:w="8237"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E0E13"/>
                <w:sz w:val="24"/>
              </w:rPr>
              <w:t>SIGNED</w:t>
            </w:r>
            <w:r>
              <w:rPr>
                <w:rFonts w:ascii="Times New Roman" w:hAnsi="Times New Roman"/>
                <w:color w:val="0E0E13"/>
                <w:sz w:val="24"/>
              </w:rPr>
              <w:t xml:space="preserve"> </w:t>
            </w:r>
            <w:r>
              <w:rPr>
                <w:rFonts w:ascii="Times New Roman" w:hAnsi="Times New Roman"/>
                <w:b/>
                <w:color w:val="0E0E13"/>
                <w:sz w:val="24"/>
              </w:rPr>
              <w:t>AND</w:t>
            </w:r>
            <w:r>
              <w:rPr>
                <w:rFonts w:ascii="Times New Roman" w:hAnsi="Times New Roman"/>
                <w:color w:val="0E0E13"/>
                <w:sz w:val="24"/>
              </w:rPr>
              <w:t xml:space="preserve"> </w:t>
            </w:r>
            <w:r>
              <w:rPr>
                <w:rFonts w:ascii="Times New Roman" w:hAnsi="Times New Roman"/>
                <w:b/>
                <w:color w:val="0E0E13"/>
                <w:sz w:val="24"/>
              </w:rPr>
              <w:t>DELIVERED</w:t>
            </w:r>
            <w:r>
              <w:rPr>
                <w:rFonts w:ascii="Times New Roman" w:hAnsi="Times New Roman"/>
                <w:color w:val="0E0E13"/>
                <w:sz w:val="24"/>
              </w:rPr>
              <w:t xml:space="preserve"> as a </w:t>
            </w:r>
            <w:r>
              <w:rPr>
                <w:rFonts w:ascii="Times New Roman" w:hAnsi="Times New Roman"/>
                <w:b/>
                <w:color w:val="0E0E13"/>
                <w:sz w:val="24"/>
              </w:rPr>
              <w:t>DEED</w:t>
            </w:r>
          </w:p>
          <w:p>
            <w:pPr>
              <w:pStyle w:val="TableContents"/>
              <w:bidi w:val="0"/>
              <w:spacing w:before="0" w:after="283"/>
              <w:jc w:val="left"/>
              <w:rPr>
                <w:rFonts w:ascii="Times New Roman" w:hAnsi="Times New Roman"/>
                <w:sz w:val="24"/>
              </w:rPr>
            </w:pPr>
            <w:r>
              <w:rPr>
                <w:rFonts w:ascii="Times New Roman" w:hAnsi="Times New Roman"/>
                <w:color w:val="0E0E13"/>
                <w:sz w:val="24"/>
              </w:rPr>
              <w:t xml:space="preserve">for and </w:t>
            </w:r>
            <w:r>
              <w:rPr>
                <w:rFonts w:ascii="Times New Roman" w:hAnsi="Times New Roman"/>
                <w:color w:val="202025"/>
                <w:sz w:val="24"/>
              </w:rPr>
              <w:t xml:space="preserve">on </w:t>
            </w:r>
            <w:r>
              <w:rPr>
                <w:rFonts w:ascii="Times New Roman" w:hAnsi="Times New Roman"/>
                <w:color w:val="0E0E13"/>
                <w:sz w:val="24"/>
              </w:rPr>
              <w:t xml:space="preserve">behalf </w:t>
            </w:r>
            <w:r>
              <w:rPr>
                <w:rFonts w:ascii="Times New Roman" w:hAnsi="Times New Roman"/>
                <w:color w:val="202025"/>
                <w:sz w:val="24"/>
              </w:rPr>
              <w:t xml:space="preserve">of </w:t>
            </w:r>
            <w:r>
              <w:rPr>
                <w:rFonts w:ascii="Times New Roman" w:hAnsi="Times New Roman"/>
                <w:b/>
                <w:color w:val="0E0E13"/>
                <w:sz w:val="24"/>
              </w:rPr>
              <w:t>ASHLAND</w:t>
            </w:r>
            <w:r>
              <w:rPr>
                <w:rFonts w:ascii="Times New Roman" w:hAnsi="Times New Roman"/>
                <w:color w:val="0E0E13"/>
                <w:sz w:val="24"/>
              </w:rPr>
              <w:t xml:space="preserve"> </w:t>
            </w:r>
            <w:r>
              <w:rPr>
                <w:rFonts w:ascii="Times New Roman" w:hAnsi="Times New Roman"/>
                <w:b/>
                <w:color w:val="0E0E13"/>
                <w:sz w:val="24"/>
              </w:rPr>
              <w:t>INDUSTRIES EUROPE</w:t>
            </w:r>
            <w:r>
              <w:rPr>
                <w:rFonts w:ascii="Times New Roman" w:hAnsi="Times New Roman"/>
                <w:color w:val="0E0E13"/>
                <w:sz w:val="24"/>
              </w:rPr>
              <w:t xml:space="preserve"> </w:t>
            </w:r>
            <w:r>
              <w:rPr>
                <w:rFonts w:ascii="Times New Roman" w:hAnsi="Times New Roman"/>
                <w:b/>
                <w:color w:val="0E0E13"/>
                <w:sz w:val="24"/>
              </w:rPr>
              <w:t>GMBH</w:t>
            </w:r>
            <w:r>
              <w:rPr>
                <w:rFonts w:ascii="Times New Roman" w:hAnsi="Times New Roman"/>
                <w:color w:val="0E0E13"/>
                <w:sz w:val="24"/>
              </w:rPr>
              <w:t xml:space="preserve"> as the Swiss Originator and Swiss Sub-Servicer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Christiaan Tecuatl</w:t>
            </w:r>
          </w:p>
        </w:tc>
      </w:tr>
      <w:tr>
        <w:trPr/>
        <w:tc>
          <w:tcPr>
            <w:tcW w:w="82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2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Christaan Tecuatl </w:t>
            </w:r>
          </w:p>
        </w:tc>
      </w:tr>
      <w:tr>
        <w:trPr/>
        <w:tc>
          <w:tcPr>
            <w:tcW w:w="82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Managing Officer</w:t>
            </w:r>
          </w:p>
        </w:tc>
      </w:tr>
    </w:tbl>
    <w:p>
      <w:pPr>
        <w:pStyle w:val="TextBody"/>
        <w:bidi w:val="0"/>
        <w:jc w:val="left"/>
        <w:rPr/>
      </w:pPr>
      <w:r>
        <w:rPr/>
        <w:t> </w:t>
      </w:r>
    </w:p>
    <w:p>
      <w:pPr>
        <w:pStyle w:val="TextBody"/>
        <w:bidi w:val="0"/>
        <w:spacing w:before="240" w:after="283"/>
        <w:jc w:val="center"/>
        <w:rPr>
          <w:rFonts w:ascii="Times New Roman" w:hAnsi="Times New Roman"/>
          <w:sz w:val="22"/>
        </w:rPr>
      </w:pPr>
      <w:r>
        <w:rPr>
          <w:rFonts w:ascii="Times New Roman" w:hAnsi="Times New Roman"/>
          <w:i/>
          <w:color w:val="0E0E13"/>
          <w:sz w:val="22"/>
        </w:rPr>
        <w:t xml:space="preserve">[Signature </w:t>
      </w:r>
      <w:r>
        <w:rPr>
          <w:rFonts w:ascii="Times New Roman" w:hAnsi="Times New Roman"/>
          <w:i/>
          <w:color w:val="212126"/>
          <w:sz w:val="22"/>
        </w:rPr>
        <w:t>Page lo Deed of A111end111e11/ and Res/a/e111enl]</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772" w:type="dxa"/>
        <w:jc w:val="left"/>
        <w:tblInd w:w="0" w:type="dxa"/>
        <w:tblLayout w:type="fixed"/>
        <w:tblCellMar>
          <w:top w:w="28" w:type="dxa"/>
          <w:left w:w="28" w:type="dxa"/>
          <w:bottom w:w="28" w:type="dxa"/>
          <w:right w:w="28" w:type="dxa"/>
        </w:tblCellMar>
      </w:tblPr>
      <w:tblGrid>
        <w:gridCol w:w="4072"/>
        <w:gridCol w:w="1358"/>
        <w:gridCol w:w="736"/>
        <w:gridCol w:w="1606"/>
      </w:tblGrid>
      <w:tr>
        <w:trPr/>
        <w:tc>
          <w:tcPr>
            <w:tcW w:w="407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5430" w:type="dxa"/>
            <w:gridSpan w:val="2"/>
            <w:vMerge w:val="restart"/>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rPr>
              <w:t>SIGNED AND DELIVERED</w:t>
            </w:r>
            <w:r>
              <w:rPr>
                <w:rFonts w:ascii="Times New Roman" w:hAnsi="Times New Roman"/>
                <w:color w:val="000000"/>
                <w:sz w:val="24"/>
              </w:rPr>
              <w:t xml:space="preserve"> as a </w:t>
            </w:r>
            <w:r>
              <w:rPr>
                <w:rFonts w:ascii="Times New Roman" w:hAnsi="Times New Roman"/>
                <w:b/>
                <w:color w:val="000000"/>
                <w:sz w:val="24"/>
              </w:rPr>
              <w:t>DEED</w:t>
            </w:r>
          </w:p>
          <w:p>
            <w:pPr>
              <w:pStyle w:val="TableContents"/>
              <w:bidi w:val="0"/>
              <w:jc w:val="left"/>
              <w:rPr>
                <w:rFonts w:ascii="Times New Roman" w:hAnsi="Times New Roman"/>
                <w:sz w:val="24"/>
              </w:rPr>
            </w:pPr>
            <w:r>
              <w:rPr>
                <w:rFonts w:ascii="Times New Roman" w:hAnsi="Times New Roman"/>
                <w:color w:val="000000"/>
                <w:sz w:val="24"/>
              </w:rPr>
              <w:t xml:space="preserve">for and on behalf of </w:t>
            </w:r>
            <w:r>
              <w:rPr>
                <w:rFonts w:ascii="Times New Roman" w:hAnsi="Times New Roman"/>
                <w:b/>
                <w:color w:val="000000"/>
                <w:sz w:val="24"/>
              </w:rPr>
              <w:t>ASHLAND SPECIALTIES UK</w:t>
            </w:r>
          </w:p>
          <w:p>
            <w:pPr>
              <w:pStyle w:val="TableContents"/>
              <w:bidi w:val="0"/>
              <w:jc w:val="left"/>
              <w:rPr>
                <w:rFonts w:ascii="Times New Roman" w:hAnsi="Times New Roman"/>
                <w:sz w:val="24"/>
              </w:rPr>
            </w:pPr>
            <w:r>
              <w:rPr>
                <w:rFonts w:ascii="Times New Roman" w:hAnsi="Times New Roman"/>
                <w:b/>
                <w:color w:val="000000"/>
                <w:sz w:val="24"/>
              </w:rPr>
              <w:t>LIMITED</w:t>
            </w:r>
            <w:r>
              <w:rPr>
                <w:rFonts w:ascii="Times New Roman" w:hAnsi="Times New Roman"/>
                <w:color w:val="000000"/>
                <w:sz w:val="24"/>
              </w:rPr>
              <w:t> as the UK Originator and UK Sub-Servicer,</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acting by a Director in the presence of:</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0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430" w:type="dxa"/>
            <w:gridSpan w:val="2"/>
            <w:vMerge w:val="continue"/>
            <w:tcBorders/>
            <w:tcMar>
              <w:top w:w="0" w:type="dxa"/>
              <w:left w:w="0" w:type="dxa"/>
              <w:bottom w:w="0" w:type="dxa"/>
              <w:right w:w="0" w:type="dxa"/>
            </w:tcMar>
            <w:vAlign w:val="center"/>
          </w:tcPr>
          <w:p>
            <w:pPr>
              <w:pStyle w:val="Normal"/>
              <w:bidi w:val="0"/>
              <w:jc w:val="left"/>
              <w:rPr/>
            </w:pPr>
            <w:r>
              <w:rPr/>
            </w:r>
          </w:p>
        </w:tc>
        <w:tc>
          <w:tcPr>
            <w:tcW w:w="23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Kevin Higgins</w:t>
            </w:r>
          </w:p>
        </w:tc>
      </w:tr>
      <w:tr>
        <w:trPr/>
        <w:tc>
          <w:tcPr>
            <w:tcW w:w="5430" w:type="dxa"/>
            <w:gridSpan w:val="2"/>
            <w:vMerge w:val="continue"/>
            <w:tcBorders/>
            <w:tcMar>
              <w:top w:w="0" w:type="dxa"/>
              <w:left w:w="0" w:type="dxa"/>
              <w:bottom w:w="0" w:type="dxa"/>
              <w:right w:w="0" w:type="dxa"/>
            </w:tcMar>
            <w:vAlign w:val="center"/>
          </w:tcPr>
          <w:p>
            <w:pPr>
              <w:pStyle w:val="Normal"/>
              <w:bidi w:val="0"/>
              <w:jc w:val="left"/>
              <w:rPr/>
            </w:pPr>
            <w:r>
              <w:rPr/>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430" w:type="dxa"/>
            <w:gridSpan w:val="2"/>
            <w:vMerge w:val="continue"/>
            <w:tcBorders/>
            <w:tcMar>
              <w:top w:w="0" w:type="dxa"/>
              <w:left w:w="0" w:type="dxa"/>
              <w:bottom w:w="0" w:type="dxa"/>
              <w:right w:w="0" w:type="dxa"/>
            </w:tcMar>
            <w:vAlign w:val="center"/>
          </w:tcPr>
          <w:p>
            <w:pPr>
              <w:pStyle w:val="Normal"/>
              <w:bidi w:val="0"/>
              <w:jc w:val="left"/>
              <w:rPr/>
            </w:pPr>
            <w:r>
              <w:rPr/>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16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Kevin Higgins</w:t>
            </w:r>
          </w:p>
        </w:tc>
      </w:tr>
      <w:tr>
        <w:trPr/>
        <w:tc>
          <w:tcPr>
            <w:tcW w:w="4072" w:type="dxa"/>
            <w:tcBorders/>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Director</w:t>
            </w:r>
          </w:p>
        </w:tc>
      </w:tr>
      <w:tr>
        <w:trPr/>
        <w:tc>
          <w:tcPr>
            <w:tcW w:w="4072" w:type="dxa"/>
            <w:tcBorders/>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Elyse Higgins</w:t>
            </w:r>
          </w:p>
        </w:tc>
        <w:tc>
          <w:tcPr>
            <w:tcW w:w="1358"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7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(Witness' Signature)</w:t>
            </w:r>
          </w:p>
        </w:tc>
        <w:tc>
          <w:tcPr>
            <w:tcW w:w="1358"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72" w:type="dxa"/>
            <w:tcBorders/>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7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Elyse Higgins </w:t>
            </w:r>
          </w:p>
        </w:tc>
        <w:tc>
          <w:tcPr>
            <w:tcW w:w="135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72" w:type="dxa"/>
            <w:tcBorders/>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(Witness' Name)</w:t>
            </w:r>
          </w:p>
        </w:tc>
        <w:tc>
          <w:tcPr>
            <w:tcW w:w="1358"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72" w:type="dxa"/>
            <w:tcBorders/>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2466 Collins Drive, Worthington, </w:t>
            </w:r>
          </w:p>
        </w:tc>
        <w:tc>
          <w:tcPr>
            <w:tcW w:w="13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OH 43085</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7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(Witness' Address)</w:t>
            </w:r>
          </w:p>
        </w:tc>
        <w:tc>
          <w:tcPr>
            <w:tcW w:w="1358"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72" w:type="dxa"/>
            <w:tcBorders/>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7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 Director</w:t>
            </w:r>
          </w:p>
        </w:tc>
        <w:tc>
          <w:tcPr>
            <w:tcW w:w="135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72" w:type="dxa"/>
            <w:tcBorders/>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(Witness' Occupation)</w:t>
            </w:r>
          </w:p>
        </w:tc>
        <w:tc>
          <w:tcPr>
            <w:tcW w:w="1358"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sz w:val="22"/>
        </w:rPr>
      </w:pPr>
      <w:r>
        <w:rPr>
          <w:rFonts w:ascii="Times New Roman" w:hAnsi="Times New Roman"/>
          <w:i/>
          <w:color w:val="030103"/>
          <w:sz w:val="22"/>
        </w:rPr>
        <w:t xml:space="preserve">[Signature </w:t>
      </w:r>
      <w:r>
        <w:rPr>
          <w:rFonts w:ascii="Times New Roman" w:hAnsi="Times New Roman"/>
          <w:i/>
          <w:color w:val="151318"/>
          <w:sz w:val="22"/>
        </w:rPr>
        <w:t>Page to Deed of Amendment and Restatement]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006" w:type="dxa"/>
        <w:jc w:val="left"/>
        <w:tblInd w:w="0" w:type="dxa"/>
        <w:tblLayout w:type="fixed"/>
        <w:tblCellMar>
          <w:top w:w="28" w:type="dxa"/>
          <w:left w:w="28" w:type="dxa"/>
          <w:bottom w:w="28" w:type="dxa"/>
          <w:right w:w="28" w:type="dxa"/>
        </w:tblCellMar>
      </w:tblPr>
      <w:tblGrid>
        <w:gridCol w:w="3652"/>
        <w:gridCol w:w="1283"/>
        <w:gridCol w:w="2071"/>
      </w:tblGrid>
      <w:tr>
        <w:trPr/>
        <w:tc>
          <w:tcPr>
            <w:tcW w:w="365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4935" w:type="dxa"/>
            <w:gridSpan w:val="2"/>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rPr>
              <w:t>SIGNED AND DELIVERED</w:t>
            </w:r>
            <w:r>
              <w:rPr>
                <w:rFonts w:ascii="Times New Roman" w:hAnsi="Times New Roman"/>
                <w:color w:val="000000"/>
                <w:sz w:val="24"/>
              </w:rPr>
              <w:t xml:space="preserve"> as a </w:t>
            </w:r>
            <w:r>
              <w:rPr>
                <w:rFonts w:ascii="Times New Roman" w:hAnsi="Times New Roman"/>
                <w:b/>
                <w:color w:val="000000"/>
                <w:sz w:val="24"/>
              </w:rPr>
              <w:t>DEED</w:t>
            </w:r>
          </w:p>
          <w:p>
            <w:pPr>
              <w:pStyle w:val="TableContents"/>
              <w:bidi w:val="0"/>
              <w:jc w:val="left"/>
              <w:rPr>
                <w:rFonts w:ascii="Times New Roman" w:hAnsi="Times New Roman"/>
                <w:sz w:val="24"/>
              </w:rPr>
            </w:pPr>
            <w:r>
              <w:rPr>
                <w:rFonts w:ascii="Times New Roman" w:hAnsi="Times New Roman"/>
                <w:color w:val="000000"/>
                <w:sz w:val="24"/>
              </w:rPr>
              <w:t xml:space="preserve">for and on behalf of </w:t>
            </w:r>
            <w:r>
              <w:rPr>
                <w:rFonts w:ascii="Times New Roman" w:hAnsi="Times New Roman"/>
                <w:b/>
                <w:color w:val="000000"/>
                <w:sz w:val="24"/>
              </w:rPr>
              <w:t>ASHLAND SPECIALTIES</w:t>
            </w:r>
          </w:p>
          <w:p>
            <w:pPr>
              <w:pStyle w:val="TableContents"/>
              <w:bidi w:val="0"/>
              <w:jc w:val="left"/>
              <w:rPr>
                <w:rFonts w:ascii="Times New Roman" w:hAnsi="Times New Roman"/>
                <w:sz w:val="24"/>
              </w:rPr>
            </w:pPr>
            <w:r>
              <w:rPr>
                <w:rFonts w:ascii="Times New Roman" w:hAnsi="Times New Roman"/>
                <w:b/>
                <w:color w:val="000000"/>
                <w:sz w:val="24"/>
              </w:rPr>
              <w:t>IRELAND LIMITED</w:t>
            </w:r>
            <w:r>
              <w:rPr>
                <w:rFonts w:ascii="Times New Roman" w:hAnsi="Times New Roman"/>
                <w:color w:val="000000"/>
                <w:sz w:val="24"/>
              </w:rPr>
              <w:t> as the Servicer, Irish</w:t>
            </w:r>
          </w:p>
          <w:p>
            <w:pPr>
              <w:pStyle w:val="TableContents"/>
              <w:bidi w:val="0"/>
              <w:jc w:val="left"/>
              <w:rPr>
                <w:rFonts w:ascii="Times New Roman" w:hAnsi="Times New Roman"/>
                <w:color w:val="000000"/>
                <w:sz w:val="24"/>
              </w:rPr>
            </w:pPr>
            <w:r>
              <w:rPr>
                <w:rFonts w:ascii="Times New Roman" w:hAnsi="Times New Roman"/>
                <w:color w:val="000000"/>
                <w:sz w:val="24"/>
              </w:rPr>
              <w:t>Originator and Parent by its lawfully appointed</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attorney in the presence of:</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52" w:type="dxa"/>
            <w:tcBorders/>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Kevin Higgins</w:t>
            </w:r>
          </w:p>
        </w:tc>
      </w:tr>
      <w:tr>
        <w:trPr/>
        <w:tc>
          <w:tcPr>
            <w:tcW w:w="3652" w:type="dxa"/>
            <w:tcBorders/>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Attorney signature</w:t>
            </w:r>
          </w:p>
        </w:tc>
      </w:tr>
      <w:tr>
        <w:trPr/>
        <w:tc>
          <w:tcPr>
            <w:tcW w:w="3652" w:type="dxa"/>
            <w:tcBorders/>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52" w:type="dxa"/>
            <w:tcBorders/>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Kevin Higgins </w:t>
            </w:r>
          </w:p>
        </w:tc>
      </w:tr>
      <w:tr>
        <w:trPr/>
        <w:tc>
          <w:tcPr>
            <w:tcW w:w="365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/s/ Elyse Higgins </w:t>
            </w:r>
          </w:p>
        </w:tc>
        <w:tc>
          <w:tcPr>
            <w:tcW w:w="128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(Witness' Signature)</w:t>
            </w:r>
          </w:p>
        </w:tc>
        <w:tc>
          <w:tcPr>
            <w:tcW w:w="1283"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Print Attorney name</w:t>
            </w:r>
          </w:p>
        </w:tc>
      </w:tr>
      <w:tr>
        <w:trPr/>
        <w:tc>
          <w:tcPr>
            <w:tcW w:w="3652" w:type="dxa"/>
            <w:tcBorders/>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5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Elyse Higgins </w:t>
            </w:r>
          </w:p>
        </w:tc>
        <w:tc>
          <w:tcPr>
            <w:tcW w:w="128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(Witness' Name)</w:t>
            </w:r>
          </w:p>
        </w:tc>
        <w:tc>
          <w:tcPr>
            <w:tcW w:w="1283"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52" w:type="dxa"/>
            <w:tcBorders/>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2466 Collins Drive, Worthington, </w:t>
            </w:r>
          </w:p>
        </w:tc>
        <w:tc>
          <w:tcPr>
            <w:tcW w:w="12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OH 43085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5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8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(Witness' Address)</w:t>
            </w:r>
          </w:p>
        </w:tc>
        <w:tc>
          <w:tcPr>
            <w:tcW w:w="1283"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52" w:type="dxa"/>
            <w:tcBorders/>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5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Art Director </w:t>
            </w:r>
          </w:p>
        </w:tc>
        <w:tc>
          <w:tcPr>
            <w:tcW w:w="128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(Witness' Occupation)</w:t>
            </w:r>
          </w:p>
        </w:tc>
        <w:tc>
          <w:tcPr>
            <w:tcW w:w="1283"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left"/>
        <w:rPr/>
      </w:pPr>
      <w:r>
        <w:rPr/>
        <w:t> </w:t>
      </w:r>
    </w:p>
    <w:p>
      <w:pPr>
        <w:pStyle w:val="TextBody"/>
        <w:bidi w:val="0"/>
        <w:spacing w:before="240" w:after="283"/>
        <w:jc w:val="center"/>
        <w:rPr>
          <w:rFonts w:ascii="Times New Roman" w:hAnsi="Times New Roman"/>
          <w:sz w:val="22"/>
        </w:rPr>
      </w:pPr>
      <w:r>
        <w:rPr>
          <w:rFonts w:ascii="Times New Roman" w:hAnsi="Times New Roman"/>
          <w:i/>
          <w:color w:val="030103"/>
          <w:sz w:val="22"/>
        </w:rPr>
        <w:t xml:space="preserve">[Signature </w:t>
      </w:r>
      <w:r>
        <w:rPr>
          <w:rFonts w:ascii="Times New Roman" w:hAnsi="Times New Roman"/>
          <w:i/>
          <w:color w:val="151318"/>
          <w:sz w:val="22"/>
        </w:rPr>
        <w:t>Page to Deed of Amendment and Restatement]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243" w:type="dxa"/>
        <w:jc w:val="left"/>
        <w:tblInd w:w="0" w:type="dxa"/>
        <w:tblLayout w:type="fixed"/>
        <w:tblCellMar>
          <w:top w:w="28" w:type="dxa"/>
          <w:left w:w="28" w:type="dxa"/>
          <w:bottom w:w="28" w:type="dxa"/>
          <w:right w:w="28" w:type="dxa"/>
        </w:tblCellMar>
      </w:tblPr>
      <w:tblGrid>
        <w:gridCol w:w="5266"/>
        <w:gridCol w:w="146"/>
        <w:gridCol w:w="1831"/>
      </w:tblGrid>
      <w:tr>
        <w:trPr/>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r>
      <w:tr>
        <w:trPr/>
        <w:tc>
          <w:tcPr>
            <w:tcW w:w="5266"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rPr>
              <w:t>SIGNED AND DELIVERED</w:t>
            </w:r>
            <w:r>
              <w:rPr>
                <w:rFonts w:ascii="Times New Roman" w:hAnsi="Times New Roman"/>
                <w:color w:val="000000"/>
                <w:sz w:val="24"/>
              </w:rPr>
              <w:t xml:space="preserve"> as a </w:t>
            </w:r>
            <w:r>
              <w:rPr>
                <w:rFonts w:ascii="Times New Roman" w:hAnsi="Times New Roman"/>
                <w:b/>
                <w:color w:val="000000"/>
                <w:sz w:val="24"/>
              </w:rPr>
              <w:t>DEED</w:t>
            </w:r>
          </w:p>
          <w:p>
            <w:pPr>
              <w:pStyle w:val="TableContents"/>
              <w:bidi w:val="0"/>
              <w:jc w:val="left"/>
              <w:rPr>
                <w:rFonts w:ascii="Times New Roman" w:hAnsi="Times New Roman"/>
                <w:sz w:val="24"/>
              </w:rPr>
            </w:pPr>
            <w:r>
              <w:rPr>
                <w:rFonts w:ascii="Times New Roman" w:hAnsi="Times New Roman"/>
                <w:color w:val="000000"/>
                <w:sz w:val="24"/>
              </w:rPr>
              <w:t xml:space="preserve">for and on behalf of </w:t>
            </w:r>
            <w:r>
              <w:rPr>
                <w:rFonts w:ascii="Times New Roman" w:hAnsi="Times New Roman"/>
                <w:b/>
                <w:color w:val="000000"/>
                <w:sz w:val="24"/>
              </w:rPr>
              <w:t>BANK OF AMERICA, N.A</w:t>
            </w:r>
            <w:r>
              <w:rPr>
                <w:rFonts w:ascii="Times New Roman" w:hAnsi="Times New Roman"/>
                <w:color w:val="000000"/>
                <w:sz w:val="24"/>
              </w:rPr>
              <w:t>. as</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the Administrative Agent and, Structuring Agent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/s/ Scott Bell </w:t>
            </w:r>
          </w:p>
        </w:tc>
      </w:tr>
      <w:tr>
        <w:trPr/>
        <w:tc>
          <w:tcPr>
            <w:tcW w:w="5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Name: Scott Bell </w:t>
            </w:r>
          </w:p>
        </w:tc>
      </w:tr>
      <w:tr>
        <w:trPr/>
        <w:tc>
          <w:tcPr>
            <w:tcW w:w="5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SVP</w:t>
            </w:r>
          </w:p>
        </w:tc>
      </w:tr>
    </w:tbl>
    <w:p>
      <w:pPr>
        <w:pStyle w:val="TextBody"/>
        <w:bidi w:val="0"/>
        <w:jc w:val="left"/>
        <w:rPr/>
      </w:pPr>
      <w:r>
        <w:rPr/>
        <w:t> </w:t>
      </w:r>
    </w:p>
    <w:p>
      <w:pPr>
        <w:pStyle w:val="TextBody"/>
        <w:bidi w:val="0"/>
        <w:spacing w:before="240" w:after="283"/>
        <w:jc w:val="center"/>
        <w:rPr>
          <w:rFonts w:ascii="Times New Roman" w:hAnsi="Times New Roman"/>
          <w:sz w:val="22"/>
        </w:rPr>
      </w:pPr>
      <w:r>
        <w:rPr>
          <w:rFonts w:ascii="Times New Roman" w:hAnsi="Times New Roman"/>
          <w:i/>
          <w:color w:val="030103"/>
          <w:sz w:val="22"/>
        </w:rPr>
        <w:t xml:space="preserve">[Signature </w:t>
      </w:r>
      <w:r>
        <w:rPr>
          <w:rFonts w:ascii="Times New Roman" w:hAnsi="Times New Roman"/>
          <w:i/>
          <w:color w:val="151318"/>
          <w:sz w:val="22"/>
        </w:rPr>
        <w:t>Page to Deed of Amendment and Restatement]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983" w:type="dxa"/>
        <w:jc w:val="left"/>
        <w:tblInd w:w="0" w:type="dxa"/>
        <w:tblLayout w:type="fixed"/>
        <w:tblCellMar>
          <w:top w:w="28" w:type="dxa"/>
          <w:left w:w="28" w:type="dxa"/>
          <w:bottom w:w="28" w:type="dxa"/>
          <w:right w:w="28" w:type="dxa"/>
        </w:tblCellMar>
      </w:tblPr>
      <w:tblGrid>
        <w:gridCol w:w="4156"/>
        <w:gridCol w:w="146"/>
        <w:gridCol w:w="468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1" w:type="dxa"/>
            <w:tcBorders/>
            <w:vAlign w:val="center"/>
          </w:tcPr>
          <w:p>
            <w:pPr>
              <w:pStyle w:val="TableContents"/>
              <w:bidi w:val="0"/>
              <w:spacing w:before="0" w:after="283"/>
              <w:jc w:val="left"/>
              <w:rPr>
                <w:sz w:val="4"/>
                <w:szCs w:val="4"/>
              </w:rPr>
            </w:pPr>
            <w:r>
              <w:rPr>
                <w:sz w:val="4"/>
                <w:szCs w:val="4"/>
              </w:rPr>
            </w:r>
          </w:p>
        </w:tc>
      </w:tr>
      <w:tr>
        <w:trPr/>
        <w:tc>
          <w:tcPr>
            <w:tcW w:w="4156"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rPr>
              <w:t>EXECUTED</w:t>
            </w:r>
            <w:r>
              <w:rPr>
                <w:rFonts w:ascii="Times New Roman" w:hAnsi="Times New Roman"/>
                <w:color w:val="000000"/>
                <w:sz w:val="24"/>
              </w:rPr>
              <w:t xml:space="preserve"> as a </w:t>
            </w:r>
            <w:r>
              <w:rPr>
                <w:rFonts w:ascii="Times New Roman" w:hAnsi="Times New Roman"/>
                <w:b/>
                <w:color w:val="000000"/>
                <w:sz w:val="24"/>
              </w:rPr>
              <w:t>DEED</w:t>
            </w:r>
            <w:r>
              <w:rPr>
                <w:rFonts w:ascii="Times New Roman" w:hAnsi="Times New Roman"/>
                <w:color w:val="000000"/>
                <w:sz w:val="24"/>
              </w:rPr>
              <w:t> by</w:t>
            </w:r>
          </w:p>
          <w:p>
            <w:pPr>
              <w:pStyle w:val="TableContents"/>
              <w:bidi w:val="0"/>
              <w:jc w:val="left"/>
              <w:rPr>
                <w:rFonts w:ascii="Times New Roman" w:hAnsi="Times New Roman"/>
                <w:color w:val="000000"/>
                <w:sz w:val="24"/>
              </w:rPr>
            </w:pPr>
            <w:r>
              <w:rPr>
                <w:rFonts w:ascii="Times New Roman" w:hAnsi="Times New Roman"/>
                <w:color w:val="000000"/>
                <w:sz w:val="24"/>
              </w:rPr>
              <w:t>duly authorised</w:t>
            </w:r>
          </w:p>
          <w:p>
            <w:pPr>
              <w:pStyle w:val="TableContents"/>
              <w:bidi w:val="0"/>
              <w:jc w:val="left"/>
              <w:rPr>
                <w:rFonts w:ascii="Times New Roman" w:hAnsi="Times New Roman"/>
                <w:color w:val="000000"/>
                <w:sz w:val="24"/>
              </w:rPr>
            </w:pPr>
            <w:r>
              <w:rPr>
                <w:rFonts w:ascii="Times New Roman" w:hAnsi="Times New Roman"/>
                <w:color w:val="000000"/>
                <w:sz w:val="24"/>
              </w:rPr>
              <w:t>for and on behalf of</w:t>
            </w:r>
          </w:p>
          <w:p>
            <w:pPr>
              <w:pStyle w:val="TableContents"/>
              <w:bidi w:val="0"/>
              <w:jc w:val="left"/>
              <w:rPr>
                <w:rFonts w:ascii="Times New Roman" w:hAnsi="Times New Roman"/>
                <w:b/>
                <w:color w:val="000000"/>
                <w:sz w:val="24"/>
              </w:rPr>
            </w:pPr>
            <w:r>
              <w:rPr>
                <w:rFonts w:ascii="Times New Roman" w:hAnsi="Times New Roman"/>
                <w:b/>
                <w:color w:val="000000"/>
                <w:sz w:val="24"/>
              </w:rPr>
              <w:t>BANK OF AMERICA EUROPE DAC</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 Committed Purchaser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/s/ Lee Masters</w:t>
            </w:r>
          </w:p>
        </w:tc>
      </w:tr>
      <w:tr>
        <w:trPr/>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Lee Masters</w:t>
            </w:r>
          </w:p>
        </w:tc>
      </w:tr>
      <w:tr>
        <w:trPr/>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 Director </w:t>
            </w:r>
          </w:p>
        </w:tc>
      </w:tr>
      <w:tr>
        <w:trPr/>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Authorized Signatory </w:t>
            </w:r>
          </w:p>
        </w:tc>
      </w:tr>
      <w:tr>
        <w:trPr/>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Witnessed 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Michella Foley</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Witness 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Michella Foley </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Address: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13 Cullen Square, South Okenden RM15 GAA</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Occupation: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EA</w:t>
            </w:r>
          </w:p>
        </w:tc>
      </w:tr>
    </w:tbl>
    <w:p>
      <w:pPr>
        <w:pStyle w:val="TextBody"/>
        <w:bidi w:val="0"/>
        <w:jc w:val="left"/>
        <w:rPr/>
      </w:pPr>
      <w:r>
        <w:rPr/>
        <w:t> </w:t>
      </w:r>
    </w:p>
    <w:p>
      <w:pPr>
        <w:pStyle w:val="TextBody"/>
        <w:bidi w:val="0"/>
        <w:spacing w:before="240" w:after="283"/>
        <w:jc w:val="center"/>
        <w:rPr>
          <w:rFonts w:ascii="Times New Roman" w:hAnsi="Times New Roman"/>
          <w:sz w:val="22"/>
        </w:rPr>
      </w:pPr>
      <w:r>
        <w:rPr>
          <w:rFonts w:ascii="Times New Roman" w:hAnsi="Times New Roman"/>
          <w:i/>
          <w:color w:val="030103"/>
          <w:sz w:val="22"/>
        </w:rPr>
        <w:t xml:space="preserve">[Signature </w:t>
      </w:r>
      <w:r>
        <w:rPr>
          <w:rFonts w:ascii="Times New Roman" w:hAnsi="Times New Roman"/>
          <w:i/>
          <w:color w:val="151318"/>
          <w:sz w:val="22"/>
        </w:rPr>
        <w:t>Page to Deed of Amendment and Restatement]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054" w:type="dxa"/>
        <w:jc w:val="left"/>
        <w:tblInd w:w="0" w:type="dxa"/>
        <w:tblLayout w:type="fixed"/>
        <w:tblCellMar>
          <w:top w:w="28" w:type="dxa"/>
          <w:left w:w="28" w:type="dxa"/>
          <w:bottom w:w="28" w:type="dxa"/>
          <w:right w:w="28" w:type="dxa"/>
        </w:tblCellMar>
      </w:tblPr>
      <w:tblGrid>
        <w:gridCol w:w="433"/>
        <w:gridCol w:w="1980"/>
        <w:gridCol w:w="5128"/>
        <w:gridCol w:w="513"/>
      </w:tblGrid>
      <w:tr>
        <w:trPr/>
        <w:tc>
          <w:tcPr>
            <w:tcW w:w="433"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512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8054" w:type="dxa"/>
            <w:gridSpan w:val="4"/>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color w:val="000000"/>
                <w:sz w:val="24"/>
              </w:rPr>
              <w:t>S</w:t>
            </w:r>
            <w:r>
              <w:rPr>
                <w:rFonts w:ascii="Times New Roman" w:hAnsi="Times New Roman"/>
                <w:b/>
                <w:color w:val="000000"/>
                <w:sz w:val="24"/>
              </w:rPr>
              <w:t>IGNED AND DELIVERED</w:t>
            </w:r>
            <w:r>
              <w:rPr>
                <w:rFonts w:ascii="Times New Roman" w:hAnsi="Times New Roman"/>
                <w:color w:val="000000"/>
                <w:sz w:val="24"/>
              </w:rPr>
              <w:t xml:space="preserve"> as a </w:t>
            </w:r>
            <w:r>
              <w:rPr>
                <w:rFonts w:ascii="Times New Roman" w:hAnsi="Times New Roman"/>
                <w:b/>
                <w:color w:val="000000"/>
                <w:sz w:val="24"/>
              </w:rPr>
              <w:t>DEED</w:t>
            </w:r>
          </w:p>
          <w:p>
            <w:pPr>
              <w:pStyle w:val="TableContents"/>
              <w:bidi w:val="0"/>
              <w:spacing w:before="0" w:after="283"/>
              <w:jc w:val="left"/>
              <w:rPr>
                <w:rFonts w:ascii="Times New Roman" w:hAnsi="Times New Roman"/>
                <w:sz w:val="24"/>
              </w:rPr>
            </w:pPr>
            <w:r>
              <w:rPr>
                <w:rFonts w:ascii="Times New Roman" w:hAnsi="Times New Roman"/>
                <w:color w:val="000000"/>
                <w:sz w:val="24"/>
              </w:rPr>
              <w:t xml:space="preserve">for and on behalf of </w:t>
            </w:r>
            <w:r>
              <w:rPr>
                <w:rFonts w:ascii="Times New Roman" w:hAnsi="Times New Roman"/>
                <w:b/>
                <w:color w:val="000000"/>
                <w:sz w:val="24"/>
              </w:rPr>
              <w:t>MONT BLANC CAPITAL CORP</w:t>
            </w:r>
            <w:r>
              <w:rPr>
                <w:rFonts w:ascii="Times New Roman" w:hAnsi="Times New Roman"/>
                <w:color w:val="000000"/>
                <w:sz w:val="24"/>
              </w:rPr>
              <w:t> as Committed Purchaser</w:t>
            </w:r>
          </w:p>
        </w:tc>
      </w:tr>
      <w:tr>
        <w:trPr/>
        <w:tc>
          <w:tcPr>
            <w:tcW w:w="4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80" w:type="dxa"/>
            <w:tcBorders/>
            <w:tcMar>
              <w:top w:w="0" w:type="dxa"/>
              <w:left w:w="0" w:type="dxa"/>
              <w:bottom w:w="0" w:type="dxa"/>
              <w:right w:w="0" w:type="dxa"/>
            </w:tcMar>
            <w:vAlign w:val="center"/>
          </w:tcPr>
          <w:p>
            <w:pPr>
              <w:pStyle w:val="TableContents"/>
              <w:bidi w:val="0"/>
              <w:spacing w:before="0" w:after="283"/>
              <w:jc w:val="left"/>
              <w:rPr/>
            </w:pPr>
            <w:r>
              <w:rPr/>
              <w:t> </w:t>
            </w:r>
          </w:p>
        </w:tc>
        <w:tc>
          <w:tcPr>
            <w:tcW w:w="5128" w:type="dxa"/>
            <w:tcBorders/>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3" w:type="dxa"/>
            <w:tcBorders/>
            <w:tcMar>
              <w:top w:w="0" w:type="dxa"/>
              <w:left w:w="0" w:type="dxa"/>
              <w:bottom w:w="0" w:type="dxa"/>
              <w:right w:w="0" w:type="dxa"/>
            </w:tcMar>
            <w:vAlign w:val="center"/>
          </w:tcPr>
          <w:p>
            <w:pPr>
              <w:pStyle w:val="TableContents"/>
              <w:bidi w:val="0"/>
              <w:spacing w:before="0" w:after="283"/>
              <w:jc w:val="left"/>
              <w:rPr/>
            </w:pPr>
            <w:r>
              <w:rPr/>
              <w:t> </w:t>
            </w:r>
          </w:p>
        </w:tc>
        <w:tc>
          <w:tcPr>
            <w:tcW w:w="710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Dennis Strid</w:t>
            </w:r>
          </w:p>
        </w:tc>
        <w:tc>
          <w:tcPr>
            <w:tcW w:w="5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8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51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Dennis Strid</w:t>
            </w:r>
          </w:p>
        </w:tc>
        <w:tc>
          <w:tcPr>
            <w:tcW w:w="5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5128"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4"/>
              </w:rPr>
              <w:t xml:space="preserve">Vice President </w:t>
            </w:r>
          </w:p>
        </w:tc>
        <w:tc>
          <w:tcPr>
            <w:tcW w:w="5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80" w:type="dxa"/>
            <w:tcBorders/>
            <w:tcMar>
              <w:top w:w="0" w:type="dxa"/>
              <w:left w:w="0" w:type="dxa"/>
              <w:bottom w:w="0" w:type="dxa"/>
              <w:right w:w="0" w:type="dxa"/>
            </w:tcMar>
            <w:vAlign w:val="center"/>
          </w:tcPr>
          <w:p>
            <w:pPr>
              <w:pStyle w:val="TableContents"/>
              <w:bidi w:val="0"/>
              <w:spacing w:before="0" w:after="283"/>
              <w:jc w:val="left"/>
              <w:rPr/>
            </w:pPr>
            <w:r>
              <w:rPr/>
              <w:t> </w:t>
            </w:r>
          </w:p>
        </w:tc>
        <w:tc>
          <w:tcPr>
            <w:tcW w:w="5128" w:type="dxa"/>
            <w:tcBorders/>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3" w:type="dxa"/>
            <w:tcBorders/>
            <w:tcMar>
              <w:top w:w="0" w:type="dxa"/>
              <w:left w:w="0" w:type="dxa"/>
              <w:bottom w:w="0" w:type="dxa"/>
              <w:right w:w="0" w:type="dxa"/>
            </w:tcMar>
            <w:vAlign w:val="center"/>
          </w:tcPr>
          <w:p>
            <w:pPr>
              <w:pStyle w:val="TableContents"/>
              <w:bidi w:val="0"/>
              <w:spacing w:before="0" w:after="283"/>
              <w:jc w:val="left"/>
              <w:rPr/>
            </w:pPr>
            <w:r>
              <w:rPr/>
              <w:t> </w:t>
            </w:r>
          </w:p>
        </w:tc>
        <w:tc>
          <w:tcPr>
            <w:tcW w:w="710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Sandeep Srinath</w:t>
            </w:r>
          </w:p>
        </w:tc>
        <w:tc>
          <w:tcPr>
            <w:tcW w:w="5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8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51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Sandeep Srinath </w:t>
            </w:r>
          </w:p>
        </w:tc>
        <w:tc>
          <w:tcPr>
            <w:tcW w:w="5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3" w:type="dxa"/>
            <w:tcBorders/>
            <w:tcMar>
              <w:top w:w="0" w:type="dxa"/>
              <w:left w:w="0" w:type="dxa"/>
              <w:bottom w:w="0" w:type="dxa"/>
              <w:right w:w="0" w:type="dxa"/>
            </w:tcMar>
            <w:vAlign w:val="center"/>
          </w:tcPr>
          <w:p>
            <w:pPr>
              <w:pStyle w:val="TableContents"/>
              <w:bidi w:val="0"/>
              <w:spacing w:before="0" w:after="283"/>
              <w:jc w:val="left"/>
              <w:rPr/>
            </w:pPr>
            <w:r>
              <w:rPr/>
              <w:t> </w:t>
            </w:r>
          </w:p>
        </w:tc>
        <w:tc>
          <w:tcPr>
            <w:tcW w:w="19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51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Managing Director</w:t>
            </w:r>
          </w:p>
        </w:tc>
        <w:tc>
          <w:tcPr>
            <w:tcW w:w="51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sz w:val="22"/>
        </w:rPr>
      </w:pPr>
      <w:r>
        <w:rPr>
          <w:rFonts w:ascii="Times New Roman" w:hAnsi="Times New Roman"/>
          <w:i/>
          <w:color w:val="030103"/>
          <w:sz w:val="22"/>
        </w:rPr>
        <w:t xml:space="preserve">[Signature </w:t>
      </w:r>
      <w:r>
        <w:rPr>
          <w:rFonts w:ascii="Times New Roman" w:hAnsi="Times New Roman"/>
          <w:i/>
          <w:color w:val="151318"/>
          <w:sz w:val="22"/>
        </w:rPr>
        <w:t>Page to Deed of Amendment and Restatement]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5174" w:type="dxa"/>
        <w:jc w:val="left"/>
        <w:tblInd w:w="0" w:type="dxa"/>
        <w:tblLayout w:type="fixed"/>
        <w:tblCellMar>
          <w:top w:w="28" w:type="dxa"/>
          <w:left w:w="28" w:type="dxa"/>
          <w:bottom w:w="28" w:type="dxa"/>
          <w:right w:w="28" w:type="dxa"/>
        </w:tblCellMar>
      </w:tblPr>
      <w:tblGrid>
        <w:gridCol w:w="272"/>
        <w:gridCol w:w="1247"/>
        <w:gridCol w:w="3332"/>
        <w:gridCol w:w="323"/>
      </w:tblGrid>
      <w:tr>
        <w:trPr/>
        <w:tc>
          <w:tcPr>
            <w:tcW w:w="27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333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5174" w:type="dxa"/>
            <w:gridSpan w:val="4"/>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rPr>
              <w:t>SIGNED AND DELIVERED</w:t>
            </w:r>
            <w:r>
              <w:rPr>
                <w:rFonts w:ascii="Times New Roman" w:hAnsi="Times New Roman"/>
                <w:color w:val="000000"/>
                <w:sz w:val="24"/>
              </w:rPr>
              <w:t xml:space="preserve"> as a </w:t>
            </w:r>
            <w:r>
              <w:rPr>
                <w:rFonts w:ascii="Times New Roman" w:hAnsi="Times New Roman"/>
                <w:b/>
                <w:color w:val="000000"/>
                <w:sz w:val="24"/>
              </w:rPr>
              <w:t>DEED</w:t>
            </w:r>
          </w:p>
          <w:p>
            <w:pPr>
              <w:pStyle w:val="TableContents"/>
              <w:bidi w:val="0"/>
              <w:jc w:val="left"/>
              <w:rPr>
                <w:rFonts w:ascii="Times New Roman" w:hAnsi="Times New Roman"/>
                <w:sz w:val="24"/>
              </w:rPr>
            </w:pPr>
            <w:r>
              <w:rPr>
                <w:rFonts w:ascii="Times New Roman" w:hAnsi="Times New Roman"/>
                <w:color w:val="000000"/>
                <w:sz w:val="24"/>
              </w:rPr>
              <w:t xml:space="preserve">for and on behalf of </w:t>
            </w:r>
            <w:r>
              <w:rPr>
                <w:rFonts w:ascii="Times New Roman" w:hAnsi="Times New Roman"/>
                <w:b/>
                <w:color w:val="000000"/>
                <w:sz w:val="24"/>
              </w:rPr>
              <w:t>ING BELGIUM SA/NV</w:t>
            </w:r>
            <w:r>
              <w:rPr>
                <w:rFonts w:ascii="Times New Roman" w:hAnsi="Times New Roman"/>
                <w:color w:val="000000"/>
                <w:sz w:val="24"/>
              </w:rPr>
              <w:t> as the</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ING Group Agent </w:t>
            </w:r>
          </w:p>
        </w:tc>
      </w:tr>
      <w:tr>
        <w:trPr/>
        <w:tc>
          <w:tcPr>
            <w:tcW w:w="272" w:type="dxa"/>
            <w:tcBorders/>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tcMar>
              <w:top w:w="0" w:type="dxa"/>
              <w:left w:w="0" w:type="dxa"/>
              <w:bottom w:w="0" w:type="dxa"/>
              <w:right w:w="0" w:type="dxa"/>
            </w:tcMar>
            <w:vAlign w:val="center"/>
          </w:tcPr>
          <w:p>
            <w:pPr>
              <w:pStyle w:val="TableContents"/>
              <w:bidi w:val="0"/>
              <w:spacing w:before="0" w:after="283"/>
              <w:jc w:val="left"/>
              <w:rPr/>
            </w:pPr>
            <w:r>
              <w:rPr/>
              <w:t> </w:t>
            </w:r>
          </w:p>
        </w:tc>
        <w:tc>
          <w:tcPr>
            <w:tcW w:w="3332"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2" w:type="dxa"/>
            <w:tcBorders/>
            <w:tcMar>
              <w:top w:w="0" w:type="dxa"/>
              <w:left w:w="0" w:type="dxa"/>
              <w:bottom w:w="0" w:type="dxa"/>
              <w:right w:w="0" w:type="dxa"/>
            </w:tcMar>
            <w:vAlign w:val="center"/>
          </w:tcPr>
          <w:p>
            <w:pPr>
              <w:pStyle w:val="TableContents"/>
              <w:bidi w:val="0"/>
              <w:spacing w:before="0" w:after="283"/>
              <w:jc w:val="left"/>
              <w:rPr/>
            </w:pPr>
            <w:r>
              <w:rPr/>
              <w:t> </w:t>
            </w:r>
          </w:p>
        </w:tc>
        <w:tc>
          <w:tcPr>
            <w:tcW w:w="4579"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Gert Sonck</w:t>
            </w:r>
          </w:p>
        </w:tc>
        <w:tc>
          <w:tcPr>
            <w:tcW w:w="32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72" w:type="dxa"/>
            <w:tcBorders/>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33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Gert Sonck</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2" w:type="dxa"/>
            <w:tcBorders/>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33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Managing Director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2" w:type="dxa"/>
            <w:tcBorders/>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tcMar>
              <w:top w:w="0" w:type="dxa"/>
              <w:left w:w="0" w:type="dxa"/>
              <w:bottom w:w="0" w:type="dxa"/>
              <w:right w:w="0" w:type="dxa"/>
            </w:tcMar>
            <w:vAlign w:val="center"/>
          </w:tcPr>
          <w:p>
            <w:pPr>
              <w:pStyle w:val="TableContents"/>
              <w:bidi w:val="0"/>
              <w:spacing w:before="0" w:after="283"/>
              <w:jc w:val="left"/>
              <w:rPr/>
            </w:pPr>
            <w:r>
              <w:rPr/>
              <w:t> </w:t>
            </w:r>
          </w:p>
        </w:tc>
        <w:tc>
          <w:tcPr>
            <w:tcW w:w="3332"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2" w:type="dxa"/>
            <w:tcBorders/>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tcMar>
              <w:top w:w="0" w:type="dxa"/>
              <w:left w:w="0" w:type="dxa"/>
              <w:bottom w:w="0" w:type="dxa"/>
              <w:right w:w="0" w:type="dxa"/>
            </w:tcMar>
            <w:vAlign w:val="center"/>
          </w:tcPr>
          <w:p>
            <w:pPr>
              <w:pStyle w:val="TableContents"/>
              <w:bidi w:val="0"/>
              <w:spacing w:before="0" w:after="283"/>
              <w:jc w:val="left"/>
              <w:rPr/>
            </w:pPr>
            <w:r>
              <w:rPr/>
              <w:t> </w:t>
            </w:r>
          </w:p>
        </w:tc>
        <w:tc>
          <w:tcPr>
            <w:tcW w:w="3332"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2" w:type="dxa"/>
            <w:tcBorders/>
            <w:tcMar>
              <w:top w:w="0" w:type="dxa"/>
              <w:left w:w="0" w:type="dxa"/>
              <w:bottom w:w="0" w:type="dxa"/>
              <w:right w:w="0" w:type="dxa"/>
            </w:tcMar>
            <w:vAlign w:val="center"/>
          </w:tcPr>
          <w:p>
            <w:pPr>
              <w:pStyle w:val="TableContents"/>
              <w:bidi w:val="0"/>
              <w:spacing w:before="0" w:after="283"/>
              <w:jc w:val="left"/>
              <w:rPr/>
            </w:pPr>
            <w:r>
              <w:rPr/>
              <w:t> </w:t>
            </w:r>
          </w:p>
        </w:tc>
        <w:tc>
          <w:tcPr>
            <w:tcW w:w="4579"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/s/ Violene Willems </w:t>
            </w:r>
          </w:p>
        </w:tc>
        <w:tc>
          <w:tcPr>
            <w:tcW w:w="32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72" w:type="dxa"/>
            <w:tcBorders/>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33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Violene Willems</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2" w:type="dxa"/>
            <w:tcBorders/>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3332"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Director</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sz w:val="22"/>
        </w:rPr>
      </w:pPr>
      <w:r>
        <w:rPr>
          <w:rFonts w:ascii="Times New Roman" w:hAnsi="Times New Roman"/>
          <w:i/>
          <w:color w:val="030103"/>
          <w:sz w:val="22"/>
        </w:rPr>
        <w:t xml:space="preserve">[Signature </w:t>
      </w:r>
      <w:r>
        <w:rPr>
          <w:rFonts w:ascii="Times New Roman" w:hAnsi="Times New Roman"/>
          <w:i/>
          <w:color w:val="151318"/>
          <w:sz w:val="22"/>
        </w:rPr>
        <w:t>Page to Deed of Amendment and Restatement]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106051</Words>
  <Characters>566933</Characters>
  <CharactersWithSpaces>672059</CharactersWithSpaces>
  <Paragraphs>4678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